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82710" w14:textId="7A59CA76" w:rsidR="002D72CB" w:rsidRDefault="006F350D">
      <w:pPr>
        <w:spacing w:after="0" w:line="259" w:lineRule="auto"/>
        <w:ind w:left="0" w:firstLine="0"/>
        <w:jc w:val="right"/>
      </w:pPr>
      <w:r w:rsidRPr="006F350D">
        <w:rPr>
          <w:noProof/>
        </w:rPr>
        <w:drawing>
          <wp:anchor distT="0" distB="0" distL="114300" distR="114300" simplePos="0" relativeHeight="251658240" behindDoc="0" locked="0" layoutInCell="1" allowOverlap="1" wp14:anchorId="20408415" wp14:editId="69E2A65C">
            <wp:simplePos x="0" y="0"/>
            <wp:positionH relativeFrom="column">
              <wp:posOffset>3249295</wp:posOffset>
            </wp:positionH>
            <wp:positionV relativeFrom="paragraph">
              <wp:posOffset>0</wp:posOffset>
            </wp:positionV>
            <wp:extent cx="2420620" cy="10604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20620" cy="1060450"/>
                    </a:xfrm>
                    <a:prstGeom prst="rect">
                      <a:avLst/>
                    </a:prstGeom>
                  </pic:spPr>
                </pic:pic>
              </a:graphicData>
            </a:graphic>
            <wp14:sizeRelH relativeFrom="page">
              <wp14:pctWidth>0</wp14:pctWidth>
            </wp14:sizeRelH>
            <wp14:sizeRelV relativeFrom="page">
              <wp14:pctHeight>0</wp14:pctHeight>
            </wp14:sizeRelV>
          </wp:anchor>
        </w:drawing>
      </w:r>
      <w:r w:rsidR="00922AD7">
        <w:rPr>
          <w:b/>
          <w:sz w:val="23"/>
        </w:rPr>
        <w:t xml:space="preserve"> </w:t>
      </w:r>
    </w:p>
    <w:p w14:paraId="0D5F8435" w14:textId="39472B6D" w:rsidR="002D72CB" w:rsidRDefault="00922AD7">
      <w:pPr>
        <w:spacing w:after="0" w:line="259" w:lineRule="auto"/>
        <w:ind w:left="0" w:firstLine="0"/>
        <w:jc w:val="left"/>
      </w:pPr>
      <w:r>
        <w:rPr>
          <w:b/>
          <w:sz w:val="23"/>
        </w:rPr>
        <w:t xml:space="preserve"> </w:t>
      </w:r>
    </w:p>
    <w:p w14:paraId="245F8E3E" w14:textId="77777777" w:rsidR="002D72CB" w:rsidRDefault="00922AD7">
      <w:pPr>
        <w:spacing w:after="0" w:line="259" w:lineRule="auto"/>
        <w:ind w:left="0" w:firstLine="0"/>
        <w:jc w:val="left"/>
      </w:pPr>
      <w:r>
        <w:rPr>
          <w:b/>
          <w:sz w:val="23"/>
        </w:rPr>
        <w:t xml:space="preserve"> </w:t>
      </w:r>
    </w:p>
    <w:p w14:paraId="00E0A1B7" w14:textId="77777777" w:rsidR="002D72CB" w:rsidRDefault="00922AD7">
      <w:pPr>
        <w:spacing w:after="0" w:line="259" w:lineRule="auto"/>
        <w:ind w:left="0" w:right="835" w:firstLine="0"/>
        <w:jc w:val="right"/>
      </w:pPr>
      <w:r>
        <w:rPr>
          <w:rFonts w:ascii="Times New Roman" w:eastAsia="Times New Roman" w:hAnsi="Times New Roman" w:cs="Times New Roman"/>
          <w:sz w:val="20"/>
        </w:rPr>
        <w:t xml:space="preserve"> </w:t>
      </w:r>
    </w:p>
    <w:p w14:paraId="44A89E01" w14:textId="77777777" w:rsidR="002D72CB" w:rsidRDefault="00922AD7">
      <w:pPr>
        <w:spacing w:after="0" w:line="259" w:lineRule="auto"/>
        <w:ind w:left="0" w:firstLine="0"/>
        <w:jc w:val="left"/>
      </w:pPr>
      <w:r>
        <w:rPr>
          <w:rFonts w:ascii="Times New Roman" w:eastAsia="Times New Roman" w:hAnsi="Times New Roman" w:cs="Times New Roman"/>
          <w:sz w:val="20"/>
        </w:rPr>
        <w:t xml:space="preserve"> </w:t>
      </w:r>
    </w:p>
    <w:p w14:paraId="13C272DF" w14:textId="77777777" w:rsidR="002D72CB" w:rsidRDefault="00922AD7">
      <w:pPr>
        <w:spacing w:after="0" w:line="259" w:lineRule="auto"/>
        <w:ind w:left="0" w:firstLine="0"/>
        <w:jc w:val="left"/>
      </w:pPr>
      <w:r>
        <w:rPr>
          <w:rFonts w:ascii="Times New Roman" w:eastAsia="Times New Roman" w:hAnsi="Times New Roman" w:cs="Times New Roman"/>
          <w:sz w:val="20"/>
        </w:rPr>
        <w:t xml:space="preserve"> </w:t>
      </w:r>
    </w:p>
    <w:p w14:paraId="25BD802C" w14:textId="77777777" w:rsidR="002D72CB" w:rsidRDefault="00922AD7">
      <w:pPr>
        <w:spacing w:after="0" w:line="259" w:lineRule="auto"/>
        <w:ind w:left="0" w:firstLine="0"/>
        <w:jc w:val="left"/>
      </w:pPr>
      <w:r>
        <w:rPr>
          <w:rFonts w:ascii="Times New Roman" w:eastAsia="Times New Roman" w:hAnsi="Times New Roman" w:cs="Times New Roman"/>
          <w:sz w:val="20"/>
        </w:rPr>
        <w:t xml:space="preserve"> </w:t>
      </w:r>
    </w:p>
    <w:p w14:paraId="71EAE36F" w14:textId="77777777" w:rsidR="002D72CB" w:rsidRDefault="00922AD7">
      <w:pPr>
        <w:spacing w:after="0" w:line="259" w:lineRule="auto"/>
        <w:ind w:left="0" w:firstLine="0"/>
        <w:jc w:val="left"/>
      </w:pPr>
      <w:r>
        <w:rPr>
          <w:rFonts w:ascii="Times New Roman" w:eastAsia="Times New Roman" w:hAnsi="Times New Roman" w:cs="Times New Roman"/>
          <w:sz w:val="20"/>
        </w:rPr>
        <w:t xml:space="preserve"> </w:t>
      </w:r>
    </w:p>
    <w:p w14:paraId="5B241627" w14:textId="77777777" w:rsidR="002D72CB" w:rsidRDefault="00922AD7">
      <w:pPr>
        <w:spacing w:after="15" w:line="259" w:lineRule="auto"/>
        <w:ind w:left="0" w:firstLine="0"/>
        <w:jc w:val="left"/>
      </w:pPr>
      <w:r>
        <w:rPr>
          <w:rFonts w:ascii="Times New Roman" w:eastAsia="Times New Roman" w:hAnsi="Times New Roman" w:cs="Times New Roman"/>
          <w:sz w:val="20"/>
        </w:rPr>
        <w:t xml:space="preserve"> </w:t>
      </w:r>
    </w:p>
    <w:p w14:paraId="1272C7B0" w14:textId="77777777" w:rsidR="002D72CB" w:rsidRDefault="00922AD7">
      <w:pPr>
        <w:spacing w:after="374" w:line="259" w:lineRule="auto"/>
        <w:ind w:left="0" w:firstLine="0"/>
        <w:jc w:val="left"/>
      </w:pPr>
      <w:r>
        <w:rPr>
          <w:rFonts w:ascii="Times New Roman" w:eastAsia="Times New Roman" w:hAnsi="Times New Roman" w:cs="Times New Roman"/>
          <w:sz w:val="23"/>
        </w:rPr>
        <w:t xml:space="preserve"> </w:t>
      </w:r>
    </w:p>
    <w:p w14:paraId="58636588" w14:textId="77777777" w:rsidR="002D72CB" w:rsidRDefault="00922AD7">
      <w:pPr>
        <w:spacing w:after="33" w:line="259" w:lineRule="auto"/>
        <w:ind w:left="197" w:firstLine="0"/>
        <w:jc w:val="center"/>
      </w:pPr>
      <w:r>
        <w:rPr>
          <w:b/>
          <w:sz w:val="56"/>
        </w:rPr>
        <w:t xml:space="preserve">Alternative Provision Policy  </w:t>
      </w:r>
    </w:p>
    <w:p w14:paraId="783AEDE4" w14:textId="4F4953CC" w:rsidR="002D72CB" w:rsidRDefault="00922AD7">
      <w:pPr>
        <w:spacing w:after="0" w:line="259" w:lineRule="auto"/>
        <w:ind w:left="936" w:hanging="10"/>
        <w:jc w:val="left"/>
      </w:pPr>
      <w:r>
        <w:rPr>
          <w:b/>
          <w:sz w:val="56"/>
        </w:rPr>
        <w:t>20</w:t>
      </w:r>
      <w:r w:rsidR="0081167F">
        <w:rPr>
          <w:b/>
          <w:sz w:val="56"/>
        </w:rPr>
        <w:t>2</w:t>
      </w:r>
      <w:r w:rsidR="00543E3A">
        <w:rPr>
          <w:b/>
          <w:sz w:val="56"/>
        </w:rPr>
        <w:t>4</w:t>
      </w:r>
      <w:r w:rsidR="00A635BD">
        <w:rPr>
          <w:b/>
          <w:sz w:val="56"/>
        </w:rPr>
        <w:t>- 202</w:t>
      </w:r>
      <w:r w:rsidR="00543E3A">
        <w:rPr>
          <w:b/>
          <w:sz w:val="56"/>
        </w:rPr>
        <w:t>5</w:t>
      </w:r>
    </w:p>
    <w:p w14:paraId="07C53BB8" w14:textId="77777777" w:rsidR="002D72CB" w:rsidRDefault="00922AD7">
      <w:pPr>
        <w:spacing w:after="0" w:line="259" w:lineRule="auto"/>
        <w:ind w:left="0" w:firstLine="0"/>
        <w:jc w:val="left"/>
      </w:pPr>
      <w:r>
        <w:rPr>
          <w:b/>
          <w:sz w:val="20"/>
        </w:rPr>
        <w:t xml:space="preserve"> </w:t>
      </w:r>
    </w:p>
    <w:p w14:paraId="3490A6EF" w14:textId="77777777" w:rsidR="002D72CB" w:rsidRDefault="00922AD7">
      <w:pPr>
        <w:spacing w:after="0" w:line="259" w:lineRule="auto"/>
        <w:ind w:left="0" w:firstLine="0"/>
        <w:jc w:val="left"/>
      </w:pPr>
      <w:r>
        <w:rPr>
          <w:b/>
          <w:sz w:val="20"/>
        </w:rPr>
        <w:t xml:space="preserve"> </w:t>
      </w:r>
    </w:p>
    <w:p w14:paraId="2C60F54B" w14:textId="77777777" w:rsidR="002D72CB" w:rsidRDefault="00922AD7">
      <w:pPr>
        <w:spacing w:after="0" w:line="259" w:lineRule="auto"/>
        <w:ind w:left="0" w:firstLine="0"/>
        <w:jc w:val="left"/>
      </w:pPr>
      <w:r>
        <w:rPr>
          <w:b/>
          <w:sz w:val="19"/>
        </w:rPr>
        <w:t xml:space="preserve"> </w:t>
      </w:r>
    </w:p>
    <w:p w14:paraId="1EAF0940" w14:textId="77777777" w:rsidR="002D72CB" w:rsidRDefault="00922AD7">
      <w:pPr>
        <w:spacing w:after="524" w:line="259" w:lineRule="auto"/>
        <w:ind w:left="-164" w:right="-64" w:firstLine="0"/>
        <w:jc w:val="left"/>
      </w:pPr>
      <w:r>
        <w:rPr>
          <w:rFonts w:ascii="Calibri" w:eastAsia="Calibri" w:hAnsi="Calibri" w:cs="Calibri"/>
          <w:noProof/>
        </w:rPr>
        <mc:AlternateContent>
          <mc:Choice Requires="wpg">
            <w:drawing>
              <wp:inline distT="0" distB="0" distL="0" distR="0" wp14:anchorId="45F14FB1" wp14:editId="558B2007">
                <wp:extent cx="5918200" cy="127000"/>
                <wp:effectExtent l="0" t="0" r="0" b="0"/>
                <wp:docPr id="7093" name="Group 7093"/>
                <wp:cNvGraphicFramePr/>
                <a:graphic xmlns:a="http://schemas.openxmlformats.org/drawingml/2006/main">
                  <a:graphicData uri="http://schemas.microsoft.com/office/word/2010/wordprocessingGroup">
                    <wpg:wgp>
                      <wpg:cNvGrpSpPr/>
                      <wpg:grpSpPr>
                        <a:xfrm>
                          <a:off x="0" y="0"/>
                          <a:ext cx="5918200" cy="127000"/>
                          <a:chOff x="0" y="0"/>
                          <a:chExt cx="5918200" cy="127000"/>
                        </a:xfrm>
                      </wpg:grpSpPr>
                      <pic:pic xmlns:pic="http://schemas.openxmlformats.org/drawingml/2006/picture">
                        <pic:nvPicPr>
                          <pic:cNvPr id="124" name="Picture 124"/>
                          <pic:cNvPicPr/>
                        </pic:nvPicPr>
                        <pic:blipFill>
                          <a:blip r:embed="rId8"/>
                          <a:stretch>
                            <a:fillRect/>
                          </a:stretch>
                        </pic:blipFill>
                        <pic:spPr>
                          <a:xfrm>
                            <a:off x="0" y="0"/>
                            <a:ext cx="5918200" cy="127000"/>
                          </a:xfrm>
                          <a:prstGeom prst="rect">
                            <a:avLst/>
                          </a:prstGeom>
                        </pic:spPr>
                      </pic:pic>
                      <wps:wsp>
                        <wps:cNvPr id="125" name="Shape 125"/>
                        <wps:cNvSpPr/>
                        <wps:spPr>
                          <a:xfrm>
                            <a:off x="41275" y="36195"/>
                            <a:ext cx="5815331" cy="10795"/>
                          </a:xfrm>
                          <a:custGeom>
                            <a:avLst/>
                            <a:gdLst/>
                            <a:ahLst/>
                            <a:cxnLst/>
                            <a:rect l="0" t="0" r="0" b="0"/>
                            <a:pathLst>
                              <a:path w="5815331" h="10795">
                                <a:moveTo>
                                  <a:pt x="0" y="10795"/>
                                </a:moveTo>
                                <a:lnTo>
                                  <a:pt x="5815331" y="0"/>
                                </a:lnTo>
                              </a:path>
                            </a:pathLst>
                          </a:custGeom>
                          <a:ln w="25400" cap="flat">
                            <a:round/>
                          </a:ln>
                        </wps:spPr>
                        <wps:style>
                          <a:lnRef idx="1">
                            <a:srgbClr val="8063A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93" style="width:466pt;height:10pt;mso-position-horizontal-relative:char;mso-position-vertical-relative:line" coordsize="59182,1270">
                <v:shape id="Picture 124" style="position:absolute;width:59182;height:1270;left:0;top:0;" filled="f">
                  <v:imagedata r:id="rId9"/>
                </v:shape>
                <v:shape id="Shape 125" style="position:absolute;width:58153;height:107;left:412;top:361;" coordsize="5815331,10795" path="m0,10795l5815331,0">
                  <v:stroke weight="2pt" endcap="flat" joinstyle="round" on="true" color="#8063a1"/>
                  <v:fill on="false" color="#000000" opacity="0"/>
                </v:shape>
              </v:group>
            </w:pict>
          </mc:Fallback>
        </mc:AlternateContent>
      </w:r>
    </w:p>
    <w:p w14:paraId="3C02AF45" w14:textId="6FB75C18" w:rsidR="002D72CB" w:rsidRDefault="006F350D">
      <w:pPr>
        <w:spacing w:after="0" w:line="259" w:lineRule="auto"/>
        <w:ind w:left="936" w:hanging="10"/>
        <w:jc w:val="left"/>
      </w:pPr>
      <w:r>
        <w:rPr>
          <w:b/>
          <w:sz w:val="56"/>
        </w:rPr>
        <w:t>Blackwater Academy</w:t>
      </w:r>
    </w:p>
    <w:p w14:paraId="4E0ACDCC" w14:textId="77777777" w:rsidR="002D72CB" w:rsidRDefault="00922AD7">
      <w:pPr>
        <w:spacing w:after="0" w:line="259" w:lineRule="auto"/>
        <w:ind w:left="0" w:firstLine="0"/>
        <w:jc w:val="left"/>
      </w:pPr>
      <w:r>
        <w:rPr>
          <w:b/>
          <w:sz w:val="20"/>
        </w:rPr>
        <w:t xml:space="preserve"> </w:t>
      </w:r>
    </w:p>
    <w:p w14:paraId="0F85DBE3" w14:textId="77777777" w:rsidR="002D72CB" w:rsidRDefault="00922AD7">
      <w:pPr>
        <w:spacing w:after="50" w:line="259" w:lineRule="auto"/>
        <w:ind w:left="0" w:firstLine="0"/>
        <w:jc w:val="left"/>
      </w:pPr>
      <w:r>
        <w:rPr>
          <w:b/>
          <w:sz w:val="20"/>
        </w:rPr>
        <w:t xml:space="preserve"> </w:t>
      </w:r>
    </w:p>
    <w:p w14:paraId="1D513F9A" w14:textId="77777777" w:rsidR="002D72CB" w:rsidRDefault="00922AD7">
      <w:pPr>
        <w:spacing w:after="0" w:line="259" w:lineRule="auto"/>
        <w:ind w:left="0" w:firstLine="0"/>
        <w:jc w:val="left"/>
      </w:pPr>
      <w:r>
        <w:rPr>
          <w:b/>
          <w:sz w:val="27"/>
        </w:rPr>
        <w:t xml:space="preserve"> </w:t>
      </w:r>
    </w:p>
    <w:p w14:paraId="5101A9E5" w14:textId="77777777" w:rsidR="002D72CB" w:rsidRDefault="00922AD7">
      <w:pPr>
        <w:spacing w:after="2" w:line="259" w:lineRule="auto"/>
        <w:ind w:left="-176" w:right="-52" w:firstLine="0"/>
        <w:jc w:val="left"/>
      </w:pPr>
      <w:r>
        <w:rPr>
          <w:rFonts w:ascii="Calibri" w:eastAsia="Calibri" w:hAnsi="Calibri" w:cs="Calibri"/>
          <w:noProof/>
        </w:rPr>
        <mc:AlternateContent>
          <mc:Choice Requires="wpg">
            <w:drawing>
              <wp:inline distT="0" distB="0" distL="0" distR="0" wp14:anchorId="55588781" wp14:editId="40534D55">
                <wp:extent cx="5918200" cy="126999"/>
                <wp:effectExtent l="0" t="0" r="0" b="0"/>
                <wp:docPr id="7094" name="Group 7094"/>
                <wp:cNvGraphicFramePr/>
                <a:graphic xmlns:a="http://schemas.openxmlformats.org/drawingml/2006/main">
                  <a:graphicData uri="http://schemas.microsoft.com/office/word/2010/wordprocessingGroup">
                    <wpg:wgp>
                      <wpg:cNvGrpSpPr/>
                      <wpg:grpSpPr>
                        <a:xfrm>
                          <a:off x="0" y="0"/>
                          <a:ext cx="5918200" cy="126999"/>
                          <a:chOff x="0" y="0"/>
                          <a:chExt cx="5918200" cy="126999"/>
                        </a:xfrm>
                      </wpg:grpSpPr>
                      <pic:pic xmlns:pic="http://schemas.openxmlformats.org/drawingml/2006/picture">
                        <pic:nvPicPr>
                          <pic:cNvPr id="127" name="Picture 127"/>
                          <pic:cNvPicPr/>
                        </pic:nvPicPr>
                        <pic:blipFill>
                          <a:blip r:embed="rId10"/>
                          <a:stretch>
                            <a:fillRect/>
                          </a:stretch>
                        </pic:blipFill>
                        <pic:spPr>
                          <a:xfrm>
                            <a:off x="0" y="0"/>
                            <a:ext cx="5918200" cy="126999"/>
                          </a:xfrm>
                          <a:prstGeom prst="rect">
                            <a:avLst/>
                          </a:prstGeom>
                        </pic:spPr>
                      </pic:pic>
                      <wps:wsp>
                        <wps:cNvPr id="128" name="Shape 128"/>
                        <wps:cNvSpPr/>
                        <wps:spPr>
                          <a:xfrm>
                            <a:off x="43180" y="34289"/>
                            <a:ext cx="5815330" cy="9525"/>
                          </a:xfrm>
                          <a:custGeom>
                            <a:avLst/>
                            <a:gdLst/>
                            <a:ahLst/>
                            <a:cxnLst/>
                            <a:rect l="0" t="0" r="0" b="0"/>
                            <a:pathLst>
                              <a:path w="5815330" h="9525">
                                <a:moveTo>
                                  <a:pt x="0" y="9525"/>
                                </a:moveTo>
                                <a:lnTo>
                                  <a:pt x="5815330" y="0"/>
                                </a:lnTo>
                              </a:path>
                            </a:pathLst>
                          </a:custGeom>
                          <a:ln w="25397" cap="flat">
                            <a:round/>
                          </a:ln>
                        </wps:spPr>
                        <wps:style>
                          <a:lnRef idx="1">
                            <a:srgbClr val="8063A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94" style="width:466pt;height:9.99991pt;mso-position-horizontal-relative:char;mso-position-vertical-relative:line" coordsize="59182,1269">
                <v:shape id="Picture 127" style="position:absolute;width:59182;height:1269;left:0;top:0;" filled="f">
                  <v:imagedata r:id="rId11"/>
                </v:shape>
                <v:shape id="Shape 128" style="position:absolute;width:58153;height:95;left:431;top:342;" coordsize="5815330,9525" path="m0,9525l5815330,0">
                  <v:stroke weight="1.9998pt" endcap="flat" joinstyle="round" on="true" color="#8063a1"/>
                  <v:fill on="false" color="#000000" opacity="0"/>
                </v:shape>
              </v:group>
            </w:pict>
          </mc:Fallback>
        </mc:AlternateContent>
      </w:r>
    </w:p>
    <w:p w14:paraId="47DFA3D0" w14:textId="77777777" w:rsidR="002D72CB" w:rsidRDefault="00922AD7">
      <w:pPr>
        <w:spacing w:after="0" w:line="259" w:lineRule="auto"/>
        <w:ind w:left="0" w:firstLine="0"/>
        <w:jc w:val="left"/>
      </w:pPr>
      <w:r>
        <w:rPr>
          <w:b/>
          <w:sz w:val="20"/>
        </w:rPr>
        <w:t xml:space="preserve"> </w:t>
      </w:r>
    </w:p>
    <w:p w14:paraId="699C326F" w14:textId="77777777" w:rsidR="002D72CB" w:rsidRDefault="00922AD7">
      <w:pPr>
        <w:spacing w:after="0" w:line="259" w:lineRule="auto"/>
        <w:ind w:left="0" w:firstLine="0"/>
        <w:jc w:val="left"/>
      </w:pPr>
      <w:r>
        <w:rPr>
          <w:b/>
          <w:sz w:val="20"/>
        </w:rPr>
        <w:t xml:space="preserve"> </w:t>
      </w:r>
    </w:p>
    <w:p w14:paraId="2847BE4B" w14:textId="77777777" w:rsidR="002D72CB" w:rsidRDefault="00922AD7">
      <w:pPr>
        <w:spacing w:after="0" w:line="259" w:lineRule="auto"/>
        <w:ind w:left="0" w:firstLine="0"/>
        <w:jc w:val="left"/>
      </w:pPr>
      <w:r>
        <w:rPr>
          <w:b/>
          <w:sz w:val="20"/>
        </w:rPr>
        <w:t xml:space="preserve"> </w:t>
      </w:r>
    </w:p>
    <w:p w14:paraId="635C0149" w14:textId="77777777" w:rsidR="002D72CB" w:rsidRDefault="00922AD7">
      <w:pPr>
        <w:spacing w:after="0" w:line="259" w:lineRule="auto"/>
        <w:ind w:left="0" w:firstLine="0"/>
        <w:jc w:val="left"/>
      </w:pPr>
      <w:r>
        <w:rPr>
          <w:b/>
          <w:sz w:val="20"/>
        </w:rPr>
        <w:t xml:space="preserve"> </w:t>
      </w:r>
    </w:p>
    <w:p w14:paraId="5BAA36A4" w14:textId="77777777" w:rsidR="002D72CB" w:rsidRDefault="00922AD7">
      <w:pPr>
        <w:spacing w:after="0" w:line="259" w:lineRule="auto"/>
        <w:ind w:left="0" w:firstLine="0"/>
        <w:jc w:val="left"/>
      </w:pPr>
      <w:r>
        <w:rPr>
          <w:b/>
          <w:sz w:val="20"/>
        </w:rPr>
        <w:t xml:space="preserve"> </w:t>
      </w:r>
    </w:p>
    <w:p w14:paraId="2BFF2BB6" w14:textId="77777777" w:rsidR="002D72CB" w:rsidRDefault="00922AD7">
      <w:pPr>
        <w:spacing w:after="0" w:line="259" w:lineRule="auto"/>
        <w:ind w:left="0" w:firstLine="0"/>
        <w:jc w:val="left"/>
      </w:pPr>
      <w:r>
        <w:rPr>
          <w:b/>
          <w:sz w:val="20"/>
        </w:rPr>
        <w:t xml:space="preserve"> </w:t>
      </w:r>
    </w:p>
    <w:p w14:paraId="773CC1CD" w14:textId="77777777" w:rsidR="002D72CB" w:rsidRDefault="00922AD7">
      <w:pPr>
        <w:spacing w:after="0" w:line="259" w:lineRule="auto"/>
        <w:ind w:left="0" w:firstLine="0"/>
        <w:jc w:val="left"/>
      </w:pPr>
      <w:r>
        <w:rPr>
          <w:b/>
          <w:sz w:val="20"/>
        </w:rPr>
        <w:t xml:space="preserve"> </w:t>
      </w:r>
    </w:p>
    <w:p w14:paraId="70E3C9C2" w14:textId="77777777" w:rsidR="002D72CB" w:rsidRDefault="00922AD7">
      <w:pPr>
        <w:spacing w:after="0" w:line="259" w:lineRule="auto"/>
        <w:ind w:left="0" w:firstLine="0"/>
        <w:jc w:val="left"/>
      </w:pPr>
      <w:r>
        <w:rPr>
          <w:b/>
          <w:sz w:val="20"/>
        </w:rPr>
        <w:t xml:space="preserve"> </w:t>
      </w:r>
    </w:p>
    <w:p w14:paraId="6DC01414" w14:textId="77777777" w:rsidR="002D72CB" w:rsidRDefault="00922AD7">
      <w:pPr>
        <w:spacing w:after="0" w:line="259" w:lineRule="auto"/>
        <w:ind w:left="0" w:firstLine="0"/>
        <w:jc w:val="left"/>
      </w:pPr>
      <w:r>
        <w:rPr>
          <w:b/>
          <w:sz w:val="20"/>
        </w:rPr>
        <w:t xml:space="preserve"> </w:t>
      </w:r>
    </w:p>
    <w:p w14:paraId="7CCF4629" w14:textId="77777777" w:rsidR="002D72CB" w:rsidRDefault="00922AD7">
      <w:pPr>
        <w:spacing w:after="7" w:line="259" w:lineRule="auto"/>
        <w:ind w:left="0" w:firstLine="0"/>
        <w:jc w:val="left"/>
      </w:pPr>
      <w:r>
        <w:rPr>
          <w:b/>
          <w:sz w:val="20"/>
        </w:rPr>
        <w:t xml:space="preserve"> </w:t>
      </w:r>
    </w:p>
    <w:p w14:paraId="36C39FB0" w14:textId="77777777" w:rsidR="002D72CB" w:rsidRDefault="00922AD7">
      <w:pPr>
        <w:spacing w:after="0" w:line="259" w:lineRule="auto"/>
        <w:ind w:left="0" w:firstLine="0"/>
        <w:jc w:val="left"/>
      </w:pPr>
      <w:r>
        <w:rPr>
          <w:b/>
        </w:rPr>
        <w:t xml:space="preserve"> </w:t>
      </w:r>
    </w:p>
    <w:tbl>
      <w:tblPr>
        <w:tblStyle w:val="TableGrid"/>
        <w:tblW w:w="4962" w:type="dxa"/>
        <w:tblInd w:w="4479" w:type="dxa"/>
        <w:tblCellMar>
          <w:top w:w="46" w:type="dxa"/>
          <w:left w:w="108" w:type="dxa"/>
          <w:right w:w="10" w:type="dxa"/>
        </w:tblCellMar>
        <w:tblLook w:val="04A0" w:firstRow="1" w:lastRow="0" w:firstColumn="1" w:lastColumn="0" w:noHBand="0" w:noVBand="1"/>
      </w:tblPr>
      <w:tblGrid>
        <w:gridCol w:w="2410"/>
        <w:gridCol w:w="2552"/>
      </w:tblGrid>
      <w:tr w:rsidR="002D72CB" w14:paraId="34E0AF0B" w14:textId="77777777">
        <w:trPr>
          <w:trHeight w:val="461"/>
        </w:trPr>
        <w:tc>
          <w:tcPr>
            <w:tcW w:w="2410" w:type="dxa"/>
            <w:tcBorders>
              <w:top w:val="single" w:sz="4" w:space="0" w:color="000000"/>
              <w:left w:val="single" w:sz="4" w:space="0" w:color="000000"/>
              <w:bottom w:val="single" w:sz="4" w:space="0" w:color="000000"/>
              <w:right w:val="single" w:sz="4" w:space="0" w:color="000000"/>
            </w:tcBorders>
          </w:tcPr>
          <w:p w14:paraId="09D1E21B" w14:textId="77777777" w:rsidR="002D72CB" w:rsidRDefault="00922AD7">
            <w:pPr>
              <w:spacing w:after="0" w:line="259" w:lineRule="auto"/>
              <w:ind w:left="0" w:right="97" w:firstLine="0"/>
              <w:jc w:val="right"/>
            </w:pPr>
            <w:r>
              <w:rPr>
                <w:rFonts w:ascii="Calibri" w:eastAsia="Calibri" w:hAnsi="Calibri" w:cs="Calibri"/>
                <w:b/>
              </w:rPr>
              <w:t xml:space="preserve">Created By </w:t>
            </w:r>
          </w:p>
        </w:tc>
        <w:tc>
          <w:tcPr>
            <w:tcW w:w="2552" w:type="dxa"/>
            <w:tcBorders>
              <w:top w:val="single" w:sz="4" w:space="0" w:color="000000"/>
              <w:left w:val="single" w:sz="4" w:space="0" w:color="000000"/>
              <w:bottom w:val="single" w:sz="4" w:space="0" w:color="000000"/>
              <w:right w:val="single" w:sz="4" w:space="0" w:color="000000"/>
            </w:tcBorders>
          </w:tcPr>
          <w:p w14:paraId="53DBDE01" w14:textId="6100054C" w:rsidR="002D72CB" w:rsidRDefault="00A635BD" w:rsidP="00A635BD">
            <w:pPr>
              <w:spacing w:after="0" w:line="259" w:lineRule="auto"/>
              <w:ind w:left="0" w:right="95" w:firstLine="0"/>
            </w:pPr>
            <w:r>
              <w:t xml:space="preserve">   Blackwater Academy</w:t>
            </w:r>
          </w:p>
        </w:tc>
      </w:tr>
      <w:tr w:rsidR="002D72CB" w14:paraId="5272128B" w14:textId="77777777">
        <w:trPr>
          <w:trHeight w:val="461"/>
        </w:trPr>
        <w:tc>
          <w:tcPr>
            <w:tcW w:w="2410" w:type="dxa"/>
            <w:tcBorders>
              <w:top w:val="single" w:sz="4" w:space="0" w:color="000000"/>
              <w:left w:val="single" w:sz="4" w:space="0" w:color="000000"/>
              <w:bottom w:val="single" w:sz="4" w:space="0" w:color="000000"/>
              <w:right w:val="single" w:sz="4" w:space="0" w:color="000000"/>
            </w:tcBorders>
          </w:tcPr>
          <w:p w14:paraId="2AA81B4E" w14:textId="77777777" w:rsidR="002D72CB" w:rsidRDefault="00922AD7">
            <w:pPr>
              <w:spacing w:after="0" w:line="259" w:lineRule="auto"/>
              <w:ind w:left="0" w:right="96" w:firstLine="0"/>
              <w:jc w:val="right"/>
            </w:pPr>
            <w:r>
              <w:rPr>
                <w:rFonts w:ascii="Calibri" w:eastAsia="Calibri" w:hAnsi="Calibri" w:cs="Calibri"/>
                <w:b/>
              </w:rPr>
              <w:t xml:space="preserve">Governor’s Approved </w:t>
            </w:r>
          </w:p>
        </w:tc>
        <w:tc>
          <w:tcPr>
            <w:tcW w:w="2552" w:type="dxa"/>
            <w:tcBorders>
              <w:top w:val="single" w:sz="4" w:space="0" w:color="000000"/>
              <w:left w:val="single" w:sz="4" w:space="0" w:color="000000"/>
              <w:bottom w:val="single" w:sz="4" w:space="0" w:color="000000"/>
              <w:right w:val="single" w:sz="4" w:space="0" w:color="000000"/>
            </w:tcBorders>
          </w:tcPr>
          <w:p w14:paraId="0E2C3ECE" w14:textId="43AC7BF0" w:rsidR="002D72CB" w:rsidRDefault="00922AD7">
            <w:pPr>
              <w:spacing w:after="0" w:line="259" w:lineRule="auto"/>
              <w:ind w:left="0" w:right="95" w:firstLine="0"/>
              <w:jc w:val="right"/>
            </w:pPr>
            <w:r>
              <w:rPr>
                <w:rFonts w:ascii="Calibri" w:eastAsia="Calibri" w:hAnsi="Calibri" w:cs="Calibri"/>
                <w:b/>
                <w:u w:val="single" w:color="000000"/>
              </w:rPr>
              <w:t>Yes</w:t>
            </w:r>
            <w:r>
              <w:rPr>
                <w:rFonts w:ascii="Calibri" w:eastAsia="Calibri" w:hAnsi="Calibri" w:cs="Calibri"/>
                <w:b/>
              </w:rPr>
              <w:t xml:space="preserve"> </w:t>
            </w:r>
          </w:p>
        </w:tc>
      </w:tr>
      <w:tr w:rsidR="002D72CB" w14:paraId="6162158C" w14:textId="77777777">
        <w:trPr>
          <w:trHeight w:val="458"/>
        </w:trPr>
        <w:tc>
          <w:tcPr>
            <w:tcW w:w="2410" w:type="dxa"/>
            <w:tcBorders>
              <w:top w:val="single" w:sz="4" w:space="0" w:color="000000"/>
              <w:left w:val="single" w:sz="4" w:space="0" w:color="000000"/>
              <w:bottom w:val="single" w:sz="4" w:space="0" w:color="000000"/>
              <w:right w:val="single" w:sz="4" w:space="0" w:color="000000"/>
            </w:tcBorders>
          </w:tcPr>
          <w:p w14:paraId="7D3E30B0" w14:textId="77777777" w:rsidR="002D72CB" w:rsidRDefault="00922AD7">
            <w:pPr>
              <w:spacing w:after="0" w:line="259" w:lineRule="auto"/>
              <w:ind w:left="0" w:right="97" w:firstLine="0"/>
              <w:jc w:val="right"/>
            </w:pPr>
            <w:r>
              <w:rPr>
                <w:rFonts w:ascii="Calibri" w:eastAsia="Calibri" w:hAnsi="Calibri" w:cs="Calibri"/>
                <w:b/>
              </w:rPr>
              <w:t xml:space="preserve">Signed by Chair </w:t>
            </w:r>
          </w:p>
        </w:tc>
        <w:tc>
          <w:tcPr>
            <w:tcW w:w="2552" w:type="dxa"/>
            <w:tcBorders>
              <w:top w:val="single" w:sz="4" w:space="0" w:color="000000"/>
              <w:left w:val="single" w:sz="4" w:space="0" w:color="000000"/>
              <w:bottom w:val="single" w:sz="4" w:space="0" w:color="000000"/>
              <w:right w:val="single" w:sz="4" w:space="0" w:color="000000"/>
            </w:tcBorders>
          </w:tcPr>
          <w:p w14:paraId="55DEDA1B" w14:textId="008364B7" w:rsidR="002D72CB" w:rsidRDefault="00922AD7">
            <w:pPr>
              <w:spacing w:after="0" w:line="259" w:lineRule="auto"/>
              <w:ind w:left="0" w:firstLine="0"/>
              <w:jc w:val="left"/>
            </w:pPr>
            <w:r>
              <w:rPr>
                <w:rFonts w:ascii="Calibri" w:eastAsia="Calibri" w:hAnsi="Calibri" w:cs="Calibri"/>
                <w:b/>
              </w:rPr>
              <w:t xml:space="preserve"> </w:t>
            </w:r>
            <w:r w:rsidR="007C41EE">
              <w:rPr>
                <w:rFonts w:ascii="Calibri" w:eastAsia="Calibri" w:hAnsi="Calibri" w:cs="Calibri"/>
                <w:b/>
              </w:rPr>
              <w:t>R. Gul</w:t>
            </w:r>
          </w:p>
        </w:tc>
      </w:tr>
      <w:tr w:rsidR="002D72CB" w14:paraId="490A9C2A" w14:textId="77777777">
        <w:trPr>
          <w:trHeight w:val="461"/>
        </w:trPr>
        <w:tc>
          <w:tcPr>
            <w:tcW w:w="2410" w:type="dxa"/>
            <w:tcBorders>
              <w:top w:val="single" w:sz="4" w:space="0" w:color="000000"/>
              <w:left w:val="single" w:sz="4" w:space="0" w:color="000000"/>
              <w:bottom w:val="single" w:sz="4" w:space="0" w:color="000000"/>
              <w:right w:val="single" w:sz="4" w:space="0" w:color="000000"/>
            </w:tcBorders>
          </w:tcPr>
          <w:p w14:paraId="0AE1909A" w14:textId="77777777" w:rsidR="002D72CB" w:rsidRDefault="00922AD7">
            <w:pPr>
              <w:spacing w:after="0" w:line="259" w:lineRule="auto"/>
              <w:ind w:left="0" w:right="95" w:firstLine="0"/>
              <w:jc w:val="right"/>
            </w:pPr>
            <w:r>
              <w:rPr>
                <w:rFonts w:ascii="Calibri" w:eastAsia="Calibri" w:hAnsi="Calibri" w:cs="Calibri"/>
                <w:b/>
              </w:rPr>
              <w:t xml:space="preserve">Version No </w:t>
            </w:r>
          </w:p>
        </w:tc>
        <w:tc>
          <w:tcPr>
            <w:tcW w:w="2552" w:type="dxa"/>
            <w:tcBorders>
              <w:top w:val="single" w:sz="4" w:space="0" w:color="000000"/>
              <w:left w:val="single" w:sz="4" w:space="0" w:color="000000"/>
              <w:bottom w:val="single" w:sz="4" w:space="0" w:color="000000"/>
              <w:right w:val="single" w:sz="4" w:space="0" w:color="000000"/>
            </w:tcBorders>
          </w:tcPr>
          <w:p w14:paraId="0A751746" w14:textId="569C5913" w:rsidR="002D72CB" w:rsidRDefault="007C41EE">
            <w:pPr>
              <w:spacing w:after="0" w:line="259" w:lineRule="auto"/>
              <w:ind w:left="0" w:right="96" w:firstLine="0"/>
              <w:jc w:val="right"/>
            </w:pPr>
            <w:r>
              <w:rPr>
                <w:rFonts w:ascii="Calibri" w:eastAsia="Calibri" w:hAnsi="Calibri" w:cs="Calibri"/>
                <w:b/>
              </w:rPr>
              <w:t>3</w:t>
            </w:r>
            <w:r w:rsidR="00922AD7">
              <w:rPr>
                <w:rFonts w:ascii="Calibri" w:eastAsia="Calibri" w:hAnsi="Calibri" w:cs="Calibri"/>
                <w:b/>
              </w:rPr>
              <w:t xml:space="preserve"> </w:t>
            </w:r>
          </w:p>
        </w:tc>
      </w:tr>
      <w:tr w:rsidR="002D72CB" w14:paraId="7C973321" w14:textId="77777777">
        <w:trPr>
          <w:trHeight w:val="461"/>
        </w:trPr>
        <w:tc>
          <w:tcPr>
            <w:tcW w:w="2410" w:type="dxa"/>
            <w:tcBorders>
              <w:top w:val="single" w:sz="4" w:space="0" w:color="000000"/>
              <w:left w:val="single" w:sz="4" w:space="0" w:color="000000"/>
              <w:bottom w:val="single" w:sz="4" w:space="0" w:color="000000"/>
              <w:right w:val="single" w:sz="4" w:space="0" w:color="000000"/>
            </w:tcBorders>
          </w:tcPr>
          <w:p w14:paraId="3715D8E4" w14:textId="77777777" w:rsidR="002D72CB" w:rsidRDefault="00922AD7">
            <w:pPr>
              <w:spacing w:after="0" w:line="259" w:lineRule="auto"/>
              <w:ind w:left="0" w:right="100" w:firstLine="0"/>
              <w:jc w:val="right"/>
            </w:pPr>
            <w:r>
              <w:rPr>
                <w:rFonts w:ascii="Calibri" w:eastAsia="Calibri" w:hAnsi="Calibri" w:cs="Calibri"/>
                <w:b/>
              </w:rPr>
              <w:t xml:space="preserve">Date of Next Review  </w:t>
            </w:r>
          </w:p>
        </w:tc>
        <w:tc>
          <w:tcPr>
            <w:tcW w:w="2552" w:type="dxa"/>
            <w:tcBorders>
              <w:top w:val="single" w:sz="4" w:space="0" w:color="000000"/>
              <w:left w:val="single" w:sz="4" w:space="0" w:color="000000"/>
              <w:bottom w:val="single" w:sz="4" w:space="0" w:color="000000"/>
              <w:right w:val="single" w:sz="4" w:space="0" w:color="000000"/>
            </w:tcBorders>
          </w:tcPr>
          <w:p w14:paraId="5C2E704D" w14:textId="3A95B2C1" w:rsidR="002D72CB" w:rsidRDefault="00922AD7">
            <w:pPr>
              <w:spacing w:after="0" w:line="259" w:lineRule="auto"/>
              <w:ind w:left="0" w:right="97" w:firstLine="0"/>
              <w:jc w:val="right"/>
            </w:pPr>
            <w:r>
              <w:rPr>
                <w:rFonts w:ascii="Calibri" w:eastAsia="Calibri" w:hAnsi="Calibri" w:cs="Calibri"/>
                <w:b/>
              </w:rPr>
              <w:t>June 202</w:t>
            </w:r>
            <w:r w:rsidR="00543E3A">
              <w:rPr>
                <w:rFonts w:ascii="Calibri" w:eastAsia="Calibri" w:hAnsi="Calibri" w:cs="Calibri"/>
                <w:b/>
              </w:rPr>
              <w:t>5</w:t>
            </w:r>
            <w:r>
              <w:rPr>
                <w:rFonts w:ascii="Calibri" w:eastAsia="Calibri" w:hAnsi="Calibri" w:cs="Calibri"/>
                <w:b/>
              </w:rPr>
              <w:t xml:space="preserve"> </w:t>
            </w:r>
          </w:p>
        </w:tc>
      </w:tr>
    </w:tbl>
    <w:p w14:paraId="4F916E2D" w14:textId="338DAA8A" w:rsidR="002D72CB" w:rsidRDefault="00922AD7">
      <w:pPr>
        <w:tabs>
          <w:tab w:val="center" w:pos="4514"/>
        </w:tabs>
        <w:spacing w:after="0" w:line="259" w:lineRule="auto"/>
        <w:ind w:left="0" w:firstLine="0"/>
        <w:jc w:val="left"/>
      </w:pPr>
      <w:r>
        <w:rPr>
          <w:rFonts w:ascii="Times New Roman" w:eastAsia="Times New Roman" w:hAnsi="Times New Roman" w:cs="Times New Roman"/>
          <w:sz w:val="14"/>
        </w:rPr>
        <w:t xml:space="preserve"> </w:t>
      </w:r>
      <w:r w:rsidR="007C41EE">
        <w:rPr>
          <w:rFonts w:ascii="Times New Roman" w:eastAsia="Times New Roman" w:hAnsi="Times New Roman" w:cs="Times New Roman"/>
          <w:sz w:val="14"/>
        </w:rPr>
        <w:t>4</w:t>
      </w:r>
      <w:r>
        <w:rPr>
          <w:rFonts w:ascii="Calibri" w:eastAsia="Calibri" w:hAnsi="Calibri" w:cs="Calibri"/>
        </w:rPr>
        <w:t xml:space="preserve">Page </w:t>
      </w:r>
      <w:r>
        <w:rPr>
          <w:rFonts w:ascii="Calibri" w:eastAsia="Calibri" w:hAnsi="Calibri" w:cs="Calibri"/>
          <w:b/>
        </w:rPr>
        <w:t>1</w:t>
      </w:r>
      <w:r>
        <w:rPr>
          <w:rFonts w:ascii="Calibri" w:eastAsia="Calibri" w:hAnsi="Calibri" w:cs="Calibri"/>
        </w:rPr>
        <w:t xml:space="preserve"> of </w:t>
      </w:r>
      <w:r>
        <w:rPr>
          <w:rFonts w:ascii="Calibri" w:eastAsia="Calibri" w:hAnsi="Calibri" w:cs="Calibri"/>
          <w:b/>
        </w:rPr>
        <w:t>6</w:t>
      </w:r>
      <w:r>
        <w:rPr>
          <w:rFonts w:ascii="Calibri" w:eastAsia="Calibri" w:hAnsi="Calibri" w:cs="Calibri"/>
        </w:rPr>
        <w:t xml:space="preserve"> </w:t>
      </w:r>
    </w:p>
    <w:p w14:paraId="193C917C" w14:textId="77777777" w:rsidR="002D72CB" w:rsidRDefault="002D72CB">
      <w:pPr>
        <w:sectPr w:rsidR="002D72CB">
          <w:footerReference w:type="even" r:id="rId12"/>
          <w:footerReference w:type="default" r:id="rId13"/>
          <w:footerReference w:type="first" r:id="rId14"/>
          <w:pgSz w:w="11906" w:h="16841"/>
          <w:pgMar w:top="1440" w:right="1374" w:bottom="1440" w:left="1440" w:header="720" w:footer="720" w:gutter="0"/>
          <w:cols w:space="720"/>
        </w:sectPr>
      </w:pPr>
    </w:p>
    <w:sdt>
      <w:sdtPr>
        <w:id w:val="499781010"/>
        <w:docPartObj>
          <w:docPartGallery w:val="Table of Contents"/>
        </w:docPartObj>
      </w:sdtPr>
      <w:sdtEndPr/>
      <w:sdtContent>
        <w:p w14:paraId="43A6136B" w14:textId="77777777" w:rsidR="002D72CB" w:rsidRDefault="00922AD7">
          <w:pPr>
            <w:spacing w:after="107" w:line="259" w:lineRule="auto"/>
            <w:ind w:left="0" w:firstLine="0"/>
            <w:jc w:val="left"/>
          </w:pPr>
          <w:r>
            <w:rPr>
              <w:b/>
              <w:sz w:val="28"/>
            </w:rPr>
            <w:t xml:space="preserve">Contents </w:t>
          </w:r>
        </w:p>
        <w:p w14:paraId="5543D3C0" w14:textId="77777777" w:rsidR="002D72CB" w:rsidRDefault="00922AD7">
          <w:pPr>
            <w:spacing w:after="198" w:line="259" w:lineRule="auto"/>
            <w:ind w:left="0" w:firstLine="0"/>
            <w:jc w:val="left"/>
          </w:pPr>
          <w:r>
            <w:rPr>
              <w:rFonts w:ascii="Calibri" w:eastAsia="Calibri" w:hAnsi="Calibri" w:cs="Calibri"/>
            </w:rPr>
            <w:t xml:space="preserve"> </w:t>
          </w:r>
        </w:p>
        <w:p w14:paraId="261F4B76" w14:textId="256FC1B8" w:rsidR="002D72CB" w:rsidRDefault="00922AD7">
          <w:pPr>
            <w:pStyle w:val="TOC1"/>
            <w:tabs>
              <w:tab w:val="right" w:pos="9645"/>
            </w:tabs>
          </w:pPr>
          <w:r>
            <w:fldChar w:fldCharType="begin"/>
          </w:r>
          <w:r>
            <w:instrText xml:space="preserve"> TOC \o "1-1" \h \z \u </w:instrText>
          </w:r>
          <w:r>
            <w:fldChar w:fldCharType="separate"/>
          </w:r>
          <w:hyperlink w:anchor="_Toc8522">
            <w:r>
              <w:rPr>
                <w:rFonts w:ascii="Calibri" w:eastAsia="Calibri" w:hAnsi="Calibri" w:cs="Calibri"/>
                <w:sz w:val="24"/>
              </w:rPr>
              <w:t>1.</w:t>
            </w:r>
            <w:r>
              <w:rPr>
                <w:sz w:val="24"/>
              </w:rPr>
              <w:t xml:space="preserve"> </w:t>
            </w:r>
            <w:r>
              <w:t xml:space="preserve">Context of Policy              </w:t>
            </w:r>
            <w:r w:rsidR="00A635BD">
              <w:t xml:space="preserve">                                                                                              </w:t>
            </w:r>
            <w:r>
              <w:t>Page</w:t>
            </w:r>
            <w:r>
              <w:tab/>
            </w:r>
            <w:r>
              <w:fldChar w:fldCharType="begin"/>
            </w:r>
            <w:r>
              <w:instrText>PAGEREF _Toc8522 \h</w:instrText>
            </w:r>
            <w:r>
              <w:fldChar w:fldCharType="separate"/>
            </w:r>
            <w:r>
              <w:t xml:space="preserve">3 </w:t>
            </w:r>
            <w:r>
              <w:fldChar w:fldCharType="end"/>
            </w:r>
          </w:hyperlink>
        </w:p>
        <w:p w14:paraId="199EB820" w14:textId="4B7DC3C0" w:rsidR="002D72CB" w:rsidRDefault="00922AD7">
          <w:pPr>
            <w:pStyle w:val="TOC1"/>
            <w:tabs>
              <w:tab w:val="right" w:pos="9645"/>
            </w:tabs>
          </w:pPr>
          <w:hyperlink w:anchor="_Toc8523">
            <w:r>
              <w:rPr>
                <w:rFonts w:ascii="Calibri" w:eastAsia="Calibri" w:hAnsi="Calibri" w:cs="Calibri"/>
                <w:sz w:val="24"/>
              </w:rPr>
              <w:t>2.</w:t>
            </w:r>
            <w:r>
              <w:rPr>
                <w:sz w:val="24"/>
              </w:rPr>
              <w:t xml:space="preserve"> </w:t>
            </w:r>
            <w:r>
              <w:t xml:space="preserve">Objectives of Policy             </w:t>
            </w:r>
            <w:r w:rsidR="00A635BD">
              <w:t xml:space="preserve">                                                                                           </w:t>
            </w:r>
            <w:r>
              <w:t>Page</w:t>
            </w:r>
            <w:r>
              <w:tab/>
            </w:r>
            <w:r>
              <w:fldChar w:fldCharType="begin"/>
            </w:r>
            <w:r>
              <w:instrText>PAGEREF _Toc8523 \h</w:instrText>
            </w:r>
            <w:r>
              <w:fldChar w:fldCharType="separate"/>
            </w:r>
            <w:r>
              <w:t xml:space="preserve">3 </w:t>
            </w:r>
            <w:r>
              <w:fldChar w:fldCharType="end"/>
            </w:r>
          </w:hyperlink>
        </w:p>
        <w:p w14:paraId="790A5753" w14:textId="269E2C5C" w:rsidR="002D72CB" w:rsidRDefault="00922AD7">
          <w:pPr>
            <w:pStyle w:val="TOC1"/>
            <w:tabs>
              <w:tab w:val="right" w:pos="9645"/>
            </w:tabs>
          </w:pPr>
          <w:hyperlink w:anchor="_Toc8524">
            <w:r>
              <w:rPr>
                <w:rFonts w:ascii="Calibri" w:eastAsia="Calibri" w:hAnsi="Calibri" w:cs="Calibri"/>
                <w:sz w:val="24"/>
              </w:rPr>
              <w:t>3.</w:t>
            </w:r>
            <w:r>
              <w:rPr>
                <w:sz w:val="24"/>
              </w:rPr>
              <w:t xml:space="preserve"> </w:t>
            </w:r>
            <w:r>
              <w:t xml:space="preserve">Reasons Alternative Provision might be used     </w:t>
            </w:r>
            <w:r w:rsidR="00A635BD">
              <w:t xml:space="preserve">                                                          </w:t>
            </w:r>
            <w:r>
              <w:t xml:space="preserve"> Page</w:t>
            </w:r>
            <w:r>
              <w:tab/>
            </w:r>
            <w:r>
              <w:fldChar w:fldCharType="begin"/>
            </w:r>
            <w:r>
              <w:instrText>PAGEREF _Toc8524 \h</w:instrText>
            </w:r>
            <w:r>
              <w:fldChar w:fldCharType="separate"/>
            </w:r>
            <w:r>
              <w:t xml:space="preserve">3 </w:t>
            </w:r>
            <w:r>
              <w:fldChar w:fldCharType="end"/>
            </w:r>
          </w:hyperlink>
        </w:p>
        <w:p w14:paraId="1CC4F1BB" w14:textId="37AEDFE6" w:rsidR="002D72CB" w:rsidRDefault="00922AD7">
          <w:pPr>
            <w:pStyle w:val="TOC1"/>
            <w:tabs>
              <w:tab w:val="right" w:pos="9645"/>
            </w:tabs>
          </w:pPr>
          <w:hyperlink w:anchor="_Toc8525">
            <w:r>
              <w:rPr>
                <w:rFonts w:ascii="Calibri" w:eastAsia="Calibri" w:hAnsi="Calibri" w:cs="Calibri"/>
                <w:sz w:val="24"/>
              </w:rPr>
              <w:t>4.</w:t>
            </w:r>
            <w:r>
              <w:rPr>
                <w:sz w:val="24"/>
              </w:rPr>
              <w:t xml:space="preserve"> </w:t>
            </w:r>
            <w:r>
              <w:t xml:space="preserve">Referral and Monitoring Process         </w:t>
            </w:r>
            <w:r w:rsidR="00A635BD">
              <w:t xml:space="preserve">                                                                          </w:t>
            </w:r>
            <w:r>
              <w:t xml:space="preserve"> Page</w:t>
            </w:r>
            <w:r>
              <w:tab/>
            </w:r>
            <w:r>
              <w:fldChar w:fldCharType="begin"/>
            </w:r>
            <w:r>
              <w:instrText>PAGEREF _Toc8525 \h</w:instrText>
            </w:r>
            <w:r>
              <w:fldChar w:fldCharType="separate"/>
            </w:r>
            <w:r>
              <w:t xml:space="preserve">3 </w:t>
            </w:r>
            <w:r>
              <w:fldChar w:fldCharType="end"/>
            </w:r>
          </w:hyperlink>
        </w:p>
        <w:p w14:paraId="4A7A6009" w14:textId="49B60C59" w:rsidR="002D72CB" w:rsidRDefault="00922AD7">
          <w:pPr>
            <w:pStyle w:val="TOC1"/>
            <w:tabs>
              <w:tab w:val="right" w:pos="9645"/>
            </w:tabs>
          </w:pPr>
          <w:hyperlink w:anchor="_Toc8526">
            <w:r>
              <w:rPr>
                <w:rFonts w:ascii="Calibri" w:eastAsia="Calibri" w:hAnsi="Calibri" w:cs="Calibri"/>
                <w:sz w:val="24"/>
              </w:rPr>
              <w:t>5.</w:t>
            </w:r>
            <w:r>
              <w:rPr>
                <w:sz w:val="24"/>
              </w:rPr>
              <w:t xml:space="preserve"> </w:t>
            </w:r>
            <w:r>
              <w:t xml:space="preserve">Roles and Responsibilities           </w:t>
            </w:r>
            <w:r w:rsidR="00A635BD">
              <w:t xml:space="preserve">                                                                                  </w:t>
            </w:r>
            <w:r>
              <w:t xml:space="preserve"> Page</w:t>
            </w:r>
            <w:r>
              <w:tab/>
            </w:r>
            <w:r>
              <w:fldChar w:fldCharType="begin"/>
            </w:r>
            <w:r>
              <w:instrText>PAGEREF _Toc8526 \h</w:instrText>
            </w:r>
            <w:r>
              <w:fldChar w:fldCharType="separate"/>
            </w:r>
            <w:r>
              <w:t xml:space="preserve">4 </w:t>
            </w:r>
            <w:r>
              <w:fldChar w:fldCharType="end"/>
            </w:r>
          </w:hyperlink>
        </w:p>
        <w:p w14:paraId="53C30F96" w14:textId="28AF26D7" w:rsidR="002D72CB" w:rsidRDefault="00922AD7">
          <w:pPr>
            <w:pStyle w:val="TOC1"/>
            <w:tabs>
              <w:tab w:val="right" w:pos="9645"/>
            </w:tabs>
          </w:pPr>
          <w:hyperlink w:anchor="_Toc8527">
            <w:r>
              <w:rPr>
                <w:rFonts w:ascii="Calibri" w:eastAsia="Calibri" w:hAnsi="Calibri" w:cs="Calibri"/>
                <w:sz w:val="24"/>
              </w:rPr>
              <w:t>6.</w:t>
            </w:r>
            <w:r>
              <w:rPr>
                <w:sz w:val="24"/>
              </w:rPr>
              <w:t xml:space="preserve"> </w:t>
            </w:r>
            <w:r>
              <w:t xml:space="preserve">Suitability of Providers          </w:t>
            </w:r>
            <w:r w:rsidR="00A635BD">
              <w:t xml:space="preserve">                                                                                        </w:t>
            </w:r>
            <w:r>
              <w:t xml:space="preserve">  Page</w:t>
            </w:r>
            <w:r>
              <w:tab/>
            </w:r>
            <w:r>
              <w:fldChar w:fldCharType="begin"/>
            </w:r>
            <w:r>
              <w:instrText>PAGEREF _Toc8527 \h</w:instrText>
            </w:r>
            <w:r>
              <w:fldChar w:fldCharType="separate"/>
            </w:r>
            <w:r>
              <w:t xml:space="preserve">5 </w:t>
            </w:r>
            <w:r>
              <w:fldChar w:fldCharType="end"/>
            </w:r>
          </w:hyperlink>
        </w:p>
        <w:p w14:paraId="7D39D0EB" w14:textId="77777777" w:rsidR="002D72CB" w:rsidRDefault="00922AD7">
          <w:r>
            <w:fldChar w:fldCharType="end"/>
          </w:r>
        </w:p>
      </w:sdtContent>
    </w:sdt>
    <w:p w14:paraId="2E10C900" w14:textId="77777777" w:rsidR="002D72CB" w:rsidRDefault="00922AD7">
      <w:pPr>
        <w:spacing w:after="137" w:line="259" w:lineRule="auto"/>
        <w:ind w:left="0" w:firstLine="0"/>
        <w:jc w:val="left"/>
      </w:pPr>
      <w:r>
        <w:t xml:space="preserve"> </w:t>
      </w:r>
    </w:p>
    <w:p w14:paraId="54FBC1C4" w14:textId="77777777" w:rsidR="002D72CB" w:rsidRDefault="00922AD7">
      <w:pPr>
        <w:ind w:left="0" w:firstLine="0"/>
      </w:pPr>
      <w:r>
        <w:t xml:space="preserve">………………………………………………………………………………………………….. </w:t>
      </w:r>
    </w:p>
    <w:p w14:paraId="594561F4" w14:textId="77777777" w:rsidR="002D72CB" w:rsidRDefault="00922AD7">
      <w:pPr>
        <w:spacing w:after="0" w:line="259" w:lineRule="auto"/>
        <w:ind w:left="360" w:firstLine="0"/>
        <w:jc w:val="left"/>
      </w:pPr>
      <w:r>
        <w:rPr>
          <w:sz w:val="23"/>
        </w:rPr>
        <w:t xml:space="preserve"> </w:t>
      </w:r>
      <w:r>
        <w:rPr>
          <w:sz w:val="23"/>
        </w:rPr>
        <w:tab/>
        <w:t xml:space="preserve"> </w:t>
      </w:r>
      <w:r>
        <w:rPr>
          <w:sz w:val="23"/>
        </w:rPr>
        <w:tab/>
        <w:t xml:space="preserve"> </w:t>
      </w:r>
      <w:r>
        <w:rPr>
          <w:sz w:val="23"/>
        </w:rPr>
        <w:tab/>
        <w:t xml:space="preserve"> </w:t>
      </w:r>
    </w:p>
    <w:p w14:paraId="55CBC11B" w14:textId="77777777" w:rsidR="002D72CB" w:rsidRDefault="00922AD7">
      <w:pPr>
        <w:spacing w:after="0" w:line="259" w:lineRule="auto"/>
        <w:ind w:left="0" w:firstLine="0"/>
        <w:jc w:val="left"/>
      </w:pPr>
      <w:r>
        <w:rPr>
          <w:sz w:val="23"/>
        </w:rPr>
        <w:t xml:space="preserve"> </w:t>
      </w:r>
    </w:p>
    <w:p w14:paraId="04BBFF21" w14:textId="77777777" w:rsidR="002D72CB" w:rsidRDefault="00922AD7">
      <w:pPr>
        <w:spacing w:after="0" w:line="259" w:lineRule="auto"/>
        <w:ind w:left="0" w:firstLine="0"/>
        <w:jc w:val="left"/>
      </w:pPr>
      <w:r>
        <w:rPr>
          <w:b/>
          <w:sz w:val="23"/>
        </w:rPr>
        <w:t xml:space="preserve"> </w:t>
      </w:r>
    </w:p>
    <w:p w14:paraId="3B37520E" w14:textId="77777777" w:rsidR="002D72CB" w:rsidRDefault="00922AD7">
      <w:pPr>
        <w:spacing w:after="0" w:line="259" w:lineRule="auto"/>
        <w:ind w:left="0" w:firstLine="0"/>
        <w:jc w:val="left"/>
      </w:pPr>
      <w:r>
        <w:rPr>
          <w:b/>
          <w:sz w:val="23"/>
        </w:rPr>
        <w:t xml:space="preserve"> </w:t>
      </w:r>
    </w:p>
    <w:p w14:paraId="5453BE59" w14:textId="77777777" w:rsidR="002D72CB" w:rsidRDefault="00922AD7">
      <w:pPr>
        <w:spacing w:after="0" w:line="259" w:lineRule="auto"/>
        <w:ind w:left="0" w:firstLine="0"/>
        <w:jc w:val="left"/>
      </w:pPr>
      <w:r>
        <w:rPr>
          <w:b/>
          <w:sz w:val="23"/>
        </w:rPr>
        <w:t xml:space="preserve"> </w:t>
      </w:r>
    </w:p>
    <w:p w14:paraId="2BBA3F50" w14:textId="77777777" w:rsidR="002D72CB" w:rsidRDefault="00922AD7">
      <w:pPr>
        <w:spacing w:after="0" w:line="259" w:lineRule="auto"/>
        <w:ind w:left="0" w:firstLine="0"/>
        <w:jc w:val="left"/>
      </w:pPr>
      <w:r>
        <w:rPr>
          <w:b/>
          <w:sz w:val="23"/>
        </w:rPr>
        <w:t xml:space="preserve"> </w:t>
      </w:r>
    </w:p>
    <w:p w14:paraId="231BB7E1" w14:textId="77777777" w:rsidR="002D72CB" w:rsidRDefault="00922AD7">
      <w:pPr>
        <w:spacing w:after="0" w:line="259" w:lineRule="auto"/>
        <w:ind w:left="0" w:firstLine="0"/>
        <w:jc w:val="left"/>
      </w:pPr>
      <w:r>
        <w:rPr>
          <w:b/>
          <w:sz w:val="23"/>
        </w:rPr>
        <w:t xml:space="preserve"> </w:t>
      </w:r>
    </w:p>
    <w:p w14:paraId="796A0814" w14:textId="77777777" w:rsidR="002D72CB" w:rsidRDefault="00922AD7">
      <w:pPr>
        <w:spacing w:after="0" w:line="259" w:lineRule="auto"/>
        <w:ind w:left="0" w:firstLine="0"/>
        <w:jc w:val="left"/>
      </w:pPr>
      <w:r>
        <w:rPr>
          <w:b/>
          <w:sz w:val="23"/>
        </w:rPr>
        <w:t xml:space="preserve"> </w:t>
      </w:r>
    </w:p>
    <w:p w14:paraId="73C4E332" w14:textId="77777777" w:rsidR="002D72CB" w:rsidRDefault="00922AD7">
      <w:pPr>
        <w:spacing w:after="0" w:line="259" w:lineRule="auto"/>
        <w:ind w:left="0" w:firstLine="0"/>
        <w:jc w:val="left"/>
      </w:pPr>
      <w:r>
        <w:rPr>
          <w:b/>
          <w:sz w:val="23"/>
        </w:rPr>
        <w:t xml:space="preserve"> </w:t>
      </w:r>
    </w:p>
    <w:p w14:paraId="634CDFC9" w14:textId="77777777" w:rsidR="002D72CB" w:rsidRDefault="00922AD7">
      <w:pPr>
        <w:spacing w:after="0" w:line="259" w:lineRule="auto"/>
        <w:ind w:left="0" w:firstLine="0"/>
        <w:jc w:val="left"/>
      </w:pPr>
      <w:r>
        <w:rPr>
          <w:b/>
          <w:sz w:val="23"/>
        </w:rPr>
        <w:t xml:space="preserve"> </w:t>
      </w:r>
    </w:p>
    <w:p w14:paraId="17320E25" w14:textId="77777777" w:rsidR="002D72CB" w:rsidRDefault="00922AD7">
      <w:pPr>
        <w:spacing w:after="0" w:line="259" w:lineRule="auto"/>
        <w:ind w:left="0" w:firstLine="0"/>
        <w:jc w:val="left"/>
      </w:pPr>
      <w:r>
        <w:rPr>
          <w:b/>
          <w:sz w:val="23"/>
        </w:rPr>
        <w:t xml:space="preserve"> </w:t>
      </w:r>
    </w:p>
    <w:p w14:paraId="76555909" w14:textId="77777777" w:rsidR="002D72CB" w:rsidRDefault="00922AD7">
      <w:pPr>
        <w:spacing w:after="0" w:line="259" w:lineRule="auto"/>
        <w:ind w:left="0" w:firstLine="0"/>
        <w:jc w:val="left"/>
      </w:pPr>
      <w:r>
        <w:rPr>
          <w:b/>
          <w:sz w:val="23"/>
        </w:rPr>
        <w:t xml:space="preserve"> </w:t>
      </w:r>
    </w:p>
    <w:p w14:paraId="4345A5EE" w14:textId="77777777" w:rsidR="002D72CB" w:rsidRDefault="00922AD7">
      <w:pPr>
        <w:spacing w:after="0" w:line="259" w:lineRule="auto"/>
        <w:ind w:left="0" w:firstLine="0"/>
        <w:jc w:val="left"/>
      </w:pPr>
      <w:r>
        <w:rPr>
          <w:b/>
          <w:sz w:val="23"/>
        </w:rPr>
        <w:t xml:space="preserve"> </w:t>
      </w:r>
    </w:p>
    <w:p w14:paraId="61FB7872" w14:textId="77777777" w:rsidR="002D72CB" w:rsidRDefault="00922AD7">
      <w:pPr>
        <w:spacing w:after="0" w:line="259" w:lineRule="auto"/>
        <w:ind w:left="0" w:firstLine="0"/>
        <w:jc w:val="left"/>
      </w:pPr>
      <w:r>
        <w:rPr>
          <w:b/>
          <w:sz w:val="23"/>
        </w:rPr>
        <w:t xml:space="preserve"> </w:t>
      </w:r>
    </w:p>
    <w:p w14:paraId="07489737" w14:textId="77777777" w:rsidR="002D72CB" w:rsidRDefault="00922AD7">
      <w:pPr>
        <w:spacing w:after="0" w:line="259" w:lineRule="auto"/>
        <w:ind w:left="0" w:firstLine="0"/>
        <w:jc w:val="left"/>
      </w:pPr>
      <w:r>
        <w:rPr>
          <w:b/>
          <w:sz w:val="23"/>
        </w:rPr>
        <w:t xml:space="preserve"> </w:t>
      </w:r>
    </w:p>
    <w:p w14:paraId="06DDDEBE" w14:textId="77777777" w:rsidR="002D72CB" w:rsidRDefault="00922AD7">
      <w:pPr>
        <w:spacing w:after="0" w:line="259" w:lineRule="auto"/>
        <w:ind w:left="0" w:firstLine="0"/>
        <w:jc w:val="left"/>
      </w:pPr>
      <w:r>
        <w:rPr>
          <w:b/>
          <w:sz w:val="23"/>
        </w:rPr>
        <w:t xml:space="preserve"> </w:t>
      </w:r>
    </w:p>
    <w:p w14:paraId="08B6D6A0" w14:textId="77777777" w:rsidR="002D72CB" w:rsidRDefault="00922AD7">
      <w:pPr>
        <w:spacing w:after="0" w:line="259" w:lineRule="auto"/>
        <w:ind w:left="0" w:firstLine="0"/>
        <w:jc w:val="left"/>
      </w:pPr>
      <w:r>
        <w:rPr>
          <w:b/>
          <w:sz w:val="23"/>
        </w:rPr>
        <w:t xml:space="preserve"> </w:t>
      </w:r>
    </w:p>
    <w:p w14:paraId="6954630F" w14:textId="77777777" w:rsidR="002D72CB" w:rsidRDefault="00922AD7">
      <w:pPr>
        <w:spacing w:after="0" w:line="259" w:lineRule="auto"/>
        <w:ind w:left="0" w:firstLine="0"/>
        <w:jc w:val="left"/>
      </w:pPr>
      <w:r>
        <w:rPr>
          <w:b/>
          <w:sz w:val="23"/>
        </w:rPr>
        <w:t xml:space="preserve"> </w:t>
      </w:r>
    </w:p>
    <w:p w14:paraId="6569135C" w14:textId="77777777" w:rsidR="002D72CB" w:rsidRDefault="00922AD7">
      <w:pPr>
        <w:spacing w:after="0" w:line="259" w:lineRule="auto"/>
        <w:ind w:left="0" w:firstLine="0"/>
        <w:jc w:val="left"/>
      </w:pPr>
      <w:r>
        <w:rPr>
          <w:b/>
          <w:sz w:val="23"/>
        </w:rPr>
        <w:t xml:space="preserve"> </w:t>
      </w:r>
    </w:p>
    <w:p w14:paraId="0B189341" w14:textId="77777777" w:rsidR="002D72CB" w:rsidRDefault="00922AD7">
      <w:pPr>
        <w:spacing w:after="0" w:line="259" w:lineRule="auto"/>
        <w:ind w:left="0" w:firstLine="0"/>
        <w:jc w:val="left"/>
      </w:pPr>
      <w:r>
        <w:rPr>
          <w:b/>
          <w:sz w:val="23"/>
        </w:rPr>
        <w:t xml:space="preserve"> </w:t>
      </w:r>
    </w:p>
    <w:p w14:paraId="48D5EE7E" w14:textId="77777777" w:rsidR="002D72CB" w:rsidRDefault="00922AD7">
      <w:pPr>
        <w:spacing w:after="0" w:line="259" w:lineRule="auto"/>
        <w:ind w:left="0" w:firstLine="0"/>
        <w:jc w:val="left"/>
      </w:pPr>
      <w:r>
        <w:rPr>
          <w:b/>
          <w:sz w:val="23"/>
        </w:rPr>
        <w:t xml:space="preserve"> </w:t>
      </w:r>
    </w:p>
    <w:p w14:paraId="522B355C" w14:textId="77777777" w:rsidR="002D72CB" w:rsidRDefault="00922AD7">
      <w:pPr>
        <w:spacing w:after="0" w:line="259" w:lineRule="auto"/>
        <w:ind w:left="0" w:firstLine="0"/>
        <w:jc w:val="left"/>
      </w:pPr>
      <w:r>
        <w:rPr>
          <w:b/>
          <w:sz w:val="23"/>
        </w:rPr>
        <w:t xml:space="preserve"> </w:t>
      </w:r>
    </w:p>
    <w:p w14:paraId="5EAADF3D" w14:textId="77777777" w:rsidR="002D72CB" w:rsidRDefault="00922AD7">
      <w:pPr>
        <w:spacing w:after="0" w:line="259" w:lineRule="auto"/>
        <w:ind w:left="0" w:firstLine="0"/>
        <w:jc w:val="left"/>
      </w:pPr>
      <w:r>
        <w:rPr>
          <w:b/>
          <w:sz w:val="23"/>
        </w:rPr>
        <w:t xml:space="preserve"> </w:t>
      </w:r>
    </w:p>
    <w:p w14:paraId="5C4318AD" w14:textId="77777777" w:rsidR="002D72CB" w:rsidRDefault="00922AD7">
      <w:pPr>
        <w:spacing w:after="0" w:line="259" w:lineRule="auto"/>
        <w:ind w:left="0" w:firstLine="0"/>
        <w:jc w:val="left"/>
      </w:pPr>
      <w:r>
        <w:rPr>
          <w:b/>
          <w:sz w:val="23"/>
        </w:rPr>
        <w:t xml:space="preserve"> </w:t>
      </w:r>
    </w:p>
    <w:p w14:paraId="151685CF" w14:textId="77777777" w:rsidR="002D72CB" w:rsidRDefault="00922AD7">
      <w:pPr>
        <w:spacing w:after="0" w:line="259" w:lineRule="auto"/>
        <w:ind w:left="0" w:firstLine="0"/>
        <w:jc w:val="left"/>
      </w:pPr>
      <w:r>
        <w:rPr>
          <w:b/>
          <w:sz w:val="23"/>
        </w:rPr>
        <w:t xml:space="preserve"> </w:t>
      </w:r>
    </w:p>
    <w:p w14:paraId="1C180B53" w14:textId="77777777" w:rsidR="002D72CB" w:rsidRDefault="00922AD7">
      <w:pPr>
        <w:spacing w:after="0" w:line="259" w:lineRule="auto"/>
        <w:ind w:left="0" w:firstLine="0"/>
        <w:jc w:val="left"/>
      </w:pPr>
      <w:r>
        <w:rPr>
          <w:b/>
          <w:sz w:val="23"/>
        </w:rPr>
        <w:t xml:space="preserve"> </w:t>
      </w:r>
    </w:p>
    <w:p w14:paraId="617740AC" w14:textId="77777777" w:rsidR="002D72CB" w:rsidRDefault="00922AD7">
      <w:pPr>
        <w:spacing w:after="0" w:line="259" w:lineRule="auto"/>
        <w:ind w:left="0" w:firstLine="0"/>
        <w:jc w:val="left"/>
      </w:pPr>
      <w:r>
        <w:rPr>
          <w:b/>
          <w:sz w:val="23"/>
        </w:rPr>
        <w:t xml:space="preserve"> </w:t>
      </w:r>
    </w:p>
    <w:p w14:paraId="36F8F84D" w14:textId="77777777" w:rsidR="002D72CB" w:rsidRDefault="00922AD7">
      <w:pPr>
        <w:spacing w:after="0" w:line="259" w:lineRule="auto"/>
        <w:ind w:left="0" w:firstLine="0"/>
        <w:jc w:val="left"/>
      </w:pPr>
      <w:r>
        <w:rPr>
          <w:b/>
          <w:sz w:val="23"/>
        </w:rPr>
        <w:t xml:space="preserve"> </w:t>
      </w:r>
    </w:p>
    <w:p w14:paraId="085A7872" w14:textId="77777777" w:rsidR="002D72CB" w:rsidRDefault="00922AD7">
      <w:pPr>
        <w:spacing w:after="0" w:line="259" w:lineRule="auto"/>
        <w:ind w:left="0" w:firstLine="0"/>
        <w:jc w:val="left"/>
      </w:pPr>
      <w:r>
        <w:rPr>
          <w:b/>
          <w:sz w:val="23"/>
        </w:rPr>
        <w:t xml:space="preserve"> </w:t>
      </w:r>
    </w:p>
    <w:p w14:paraId="11CB520F" w14:textId="77777777" w:rsidR="002D72CB" w:rsidRDefault="00922AD7">
      <w:pPr>
        <w:spacing w:after="0" w:line="259" w:lineRule="auto"/>
        <w:ind w:left="0" w:firstLine="0"/>
        <w:jc w:val="left"/>
      </w:pPr>
      <w:r>
        <w:rPr>
          <w:b/>
          <w:sz w:val="23"/>
        </w:rPr>
        <w:t xml:space="preserve"> </w:t>
      </w:r>
    </w:p>
    <w:p w14:paraId="4017B61B" w14:textId="77777777" w:rsidR="002D72CB" w:rsidRDefault="00922AD7">
      <w:pPr>
        <w:spacing w:after="0" w:line="259" w:lineRule="auto"/>
        <w:ind w:left="0" w:firstLine="0"/>
        <w:jc w:val="left"/>
      </w:pPr>
      <w:r>
        <w:rPr>
          <w:b/>
          <w:sz w:val="23"/>
        </w:rPr>
        <w:t xml:space="preserve"> </w:t>
      </w:r>
    </w:p>
    <w:p w14:paraId="68B20D89" w14:textId="77777777" w:rsidR="002D72CB" w:rsidRDefault="00922AD7">
      <w:pPr>
        <w:spacing w:after="0" w:line="259" w:lineRule="auto"/>
        <w:ind w:left="0" w:firstLine="0"/>
        <w:jc w:val="left"/>
      </w:pPr>
      <w:r>
        <w:rPr>
          <w:b/>
          <w:sz w:val="23"/>
        </w:rPr>
        <w:t xml:space="preserve"> </w:t>
      </w:r>
    </w:p>
    <w:p w14:paraId="11BE37E9" w14:textId="77777777" w:rsidR="002D72CB" w:rsidRDefault="00922AD7">
      <w:pPr>
        <w:spacing w:after="0" w:line="259" w:lineRule="auto"/>
        <w:ind w:left="0" w:firstLine="0"/>
        <w:jc w:val="left"/>
      </w:pPr>
      <w:r>
        <w:rPr>
          <w:b/>
          <w:sz w:val="23"/>
        </w:rPr>
        <w:t xml:space="preserve"> </w:t>
      </w:r>
    </w:p>
    <w:p w14:paraId="497391C7" w14:textId="77777777" w:rsidR="002D72CB" w:rsidRDefault="00922AD7">
      <w:pPr>
        <w:spacing w:after="0" w:line="259" w:lineRule="auto"/>
        <w:ind w:left="0" w:firstLine="0"/>
        <w:jc w:val="left"/>
      </w:pPr>
      <w:r>
        <w:rPr>
          <w:b/>
          <w:sz w:val="23"/>
        </w:rPr>
        <w:t xml:space="preserve"> </w:t>
      </w:r>
    </w:p>
    <w:p w14:paraId="71AC589B" w14:textId="77777777" w:rsidR="002D72CB" w:rsidRDefault="00922AD7">
      <w:pPr>
        <w:spacing w:after="0" w:line="259" w:lineRule="auto"/>
        <w:ind w:left="0" w:firstLine="0"/>
        <w:jc w:val="left"/>
      </w:pPr>
      <w:r>
        <w:rPr>
          <w:b/>
          <w:sz w:val="23"/>
        </w:rPr>
        <w:t xml:space="preserve"> </w:t>
      </w:r>
    </w:p>
    <w:p w14:paraId="7BD01FED" w14:textId="77777777" w:rsidR="002D72CB" w:rsidRDefault="00922AD7">
      <w:pPr>
        <w:spacing w:after="0" w:line="259" w:lineRule="auto"/>
        <w:ind w:left="0" w:firstLine="0"/>
        <w:jc w:val="left"/>
      </w:pPr>
      <w:r>
        <w:rPr>
          <w:b/>
          <w:sz w:val="23"/>
        </w:rPr>
        <w:t xml:space="preserve"> </w:t>
      </w:r>
    </w:p>
    <w:p w14:paraId="7A65BD68" w14:textId="77777777" w:rsidR="002D72CB" w:rsidRDefault="00922AD7">
      <w:pPr>
        <w:spacing w:after="0" w:line="259" w:lineRule="auto"/>
        <w:ind w:left="0" w:firstLine="0"/>
        <w:jc w:val="left"/>
      </w:pPr>
      <w:r>
        <w:rPr>
          <w:b/>
          <w:sz w:val="23"/>
        </w:rPr>
        <w:t xml:space="preserve"> </w:t>
      </w:r>
    </w:p>
    <w:p w14:paraId="2C2037CB" w14:textId="77777777" w:rsidR="002D72CB" w:rsidRDefault="00922AD7">
      <w:pPr>
        <w:spacing w:after="0" w:line="259" w:lineRule="auto"/>
        <w:ind w:left="0" w:firstLine="0"/>
        <w:jc w:val="left"/>
      </w:pPr>
      <w:r>
        <w:rPr>
          <w:b/>
          <w:sz w:val="23"/>
        </w:rPr>
        <w:t xml:space="preserve"> </w:t>
      </w:r>
    </w:p>
    <w:p w14:paraId="6B0927B5" w14:textId="77777777" w:rsidR="002D72CB" w:rsidRDefault="00922AD7">
      <w:pPr>
        <w:spacing w:after="0" w:line="259" w:lineRule="auto"/>
        <w:ind w:left="0" w:firstLine="0"/>
        <w:jc w:val="left"/>
      </w:pPr>
      <w:r>
        <w:rPr>
          <w:b/>
          <w:sz w:val="23"/>
        </w:rPr>
        <w:lastRenderedPageBreak/>
        <w:t xml:space="preserve"> </w:t>
      </w:r>
    </w:p>
    <w:p w14:paraId="59453719" w14:textId="77777777" w:rsidR="002D72CB" w:rsidRDefault="00922AD7">
      <w:pPr>
        <w:spacing w:after="0" w:line="259" w:lineRule="auto"/>
        <w:ind w:left="0" w:firstLine="0"/>
        <w:jc w:val="left"/>
      </w:pPr>
      <w:r>
        <w:rPr>
          <w:b/>
          <w:sz w:val="23"/>
        </w:rPr>
        <w:t xml:space="preserve"> </w:t>
      </w:r>
    </w:p>
    <w:p w14:paraId="4F5FAD19" w14:textId="77777777" w:rsidR="002D72CB" w:rsidRDefault="00922AD7">
      <w:pPr>
        <w:spacing w:after="0" w:line="259" w:lineRule="auto"/>
        <w:ind w:left="0" w:firstLine="0"/>
        <w:jc w:val="left"/>
      </w:pPr>
      <w:r>
        <w:rPr>
          <w:sz w:val="23"/>
        </w:rPr>
        <w:t xml:space="preserve"> </w:t>
      </w:r>
    </w:p>
    <w:p w14:paraId="24806AF4" w14:textId="77777777" w:rsidR="002D72CB" w:rsidRDefault="00922AD7">
      <w:pPr>
        <w:pStyle w:val="Heading1"/>
        <w:ind w:left="345" w:hanging="360"/>
      </w:pPr>
      <w:bookmarkStart w:id="0" w:name="_Toc8522"/>
      <w:r>
        <w:t>CONTEXT OF POLICY</w:t>
      </w:r>
      <w:r>
        <w:rPr>
          <w:u w:val="none"/>
        </w:rPr>
        <w:t xml:space="preserve">  </w:t>
      </w:r>
      <w:bookmarkEnd w:id="0"/>
    </w:p>
    <w:p w14:paraId="6D93E86E" w14:textId="77777777" w:rsidR="002D72CB" w:rsidRDefault="00922AD7">
      <w:pPr>
        <w:spacing w:after="0" w:line="259" w:lineRule="auto"/>
        <w:ind w:left="0" w:firstLine="0"/>
        <w:jc w:val="left"/>
      </w:pPr>
      <w:r>
        <w:t xml:space="preserve"> </w:t>
      </w:r>
    </w:p>
    <w:p w14:paraId="5E48C356" w14:textId="10A28F5A" w:rsidR="002D72CB" w:rsidRDefault="00922AD7">
      <w:pPr>
        <w:ind w:left="0" w:firstLine="0"/>
      </w:pPr>
      <w:r>
        <w:t xml:space="preserve">Alternative provision is educational provision for students who are unable to access mainstream education for </w:t>
      </w:r>
      <w:proofErr w:type="gramStart"/>
      <w:r>
        <w:t>a number of</w:t>
      </w:r>
      <w:proofErr w:type="gramEnd"/>
      <w:r>
        <w:t xml:space="preserve"> different reasons, or who are unsuited to the mainstream provision on offer. While </w:t>
      </w:r>
      <w:r w:rsidR="006F350D">
        <w:t>Blackwater Academy</w:t>
      </w:r>
      <w:r>
        <w:t xml:space="preserve"> is itself an Alternative Provision Free School the academy recognises that there is a need to ensure that our curriculum is inclusive and accessible, providing opportunities for all students to succeed. Moreover, we recognise the need to offer the type of provision that allows some students to achieve their potential outside of what is accessible at </w:t>
      </w:r>
      <w:r w:rsidR="006F350D">
        <w:t>Blackwater Academy</w:t>
      </w:r>
      <w:r>
        <w:t xml:space="preserve">. </w:t>
      </w:r>
    </w:p>
    <w:p w14:paraId="287AB25B" w14:textId="77777777" w:rsidR="002D72CB" w:rsidRDefault="00922AD7">
      <w:pPr>
        <w:spacing w:after="0" w:line="259" w:lineRule="auto"/>
        <w:ind w:left="0" w:firstLine="0"/>
        <w:jc w:val="left"/>
      </w:pPr>
      <w:r>
        <w:t xml:space="preserve"> </w:t>
      </w:r>
    </w:p>
    <w:p w14:paraId="0619070F" w14:textId="596CFD50" w:rsidR="002D72CB" w:rsidRDefault="00922AD7">
      <w:pPr>
        <w:ind w:left="0" w:firstLine="0"/>
      </w:pPr>
      <w:r>
        <w:t xml:space="preserve">To facilitate this individual learning pathway, </w:t>
      </w:r>
      <w:r w:rsidR="006F350D">
        <w:t>Blackwater</w:t>
      </w:r>
      <w:r>
        <w:t xml:space="preserve"> Academy works with different local providers to help students who have struggled to reach their potential in the academy environment to succeed.  </w:t>
      </w:r>
    </w:p>
    <w:p w14:paraId="09306E32" w14:textId="77777777" w:rsidR="002D72CB" w:rsidRDefault="00922AD7">
      <w:pPr>
        <w:spacing w:after="0" w:line="259" w:lineRule="auto"/>
        <w:ind w:left="0" w:firstLine="0"/>
        <w:jc w:val="left"/>
      </w:pPr>
      <w:r>
        <w:t xml:space="preserve"> </w:t>
      </w:r>
    </w:p>
    <w:p w14:paraId="220019EE" w14:textId="77777777" w:rsidR="002D72CB" w:rsidRDefault="00922AD7">
      <w:pPr>
        <w:pStyle w:val="Heading1"/>
        <w:ind w:left="345" w:hanging="360"/>
      </w:pPr>
      <w:bookmarkStart w:id="1" w:name="_Toc8523"/>
      <w:r>
        <w:t>OBJECTIVES OF POLICY</w:t>
      </w:r>
      <w:r>
        <w:rPr>
          <w:u w:val="none"/>
        </w:rPr>
        <w:t xml:space="preserve"> </w:t>
      </w:r>
      <w:bookmarkEnd w:id="1"/>
    </w:p>
    <w:p w14:paraId="78EF87EA" w14:textId="77777777" w:rsidR="002D72CB" w:rsidRDefault="00922AD7">
      <w:pPr>
        <w:spacing w:after="0" w:line="259" w:lineRule="auto"/>
        <w:ind w:left="0" w:firstLine="0"/>
        <w:jc w:val="left"/>
      </w:pPr>
      <w:r>
        <w:t xml:space="preserve"> </w:t>
      </w:r>
    </w:p>
    <w:p w14:paraId="183E0EA7" w14:textId="77777777" w:rsidR="002D72CB" w:rsidRDefault="00922AD7">
      <w:pPr>
        <w:ind w:left="0" w:firstLine="0"/>
      </w:pPr>
      <w:r>
        <w:t xml:space="preserve">The objectives of this policy are:  </w:t>
      </w:r>
    </w:p>
    <w:p w14:paraId="1FC4CCD9" w14:textId="77777777" w:rsidR="002D72CB" w:rsidRDefault="00922AD7">
      <w:pPr>
        <w:numPr>
          <w:ilvl w:val="0"/>
          <w:numId w:val="1"/>
        </w:numPr>
        <w:ind w:hanging="360"/>
      </w:pPr>
      <w:r>
        <w:t xml:space="preserve">To outline the reasons why students might be offered alternative provision.  </w:t>
      </w:r>
    </w:p>
    <w:p w14:paraId="5BF372CD" w14:textId="77777777" w:rsidR="002D72CB" w:rsidRDefault="00922AD7">
      <w:pPr>
        <w:numPr>
          <w:ilvl w:val="0"/>
          <w:numId w:val="1"/>
        </w:numPr>
        <w:ind w:hanging="360"/>
      </w:pPr>
      <w:r>
        <w:t xml:space="preserve">To ensure that alternative provision is offered to suitable students in a consistent way.  </w:t>
      </w:r>
    </w:p>
    <w:p w14:paraId="258817BD" w14:textId="77777777" w:rsidR="002D72CB" w:rsidRDefault="00922AD7">
      <w:pPr>
        <w:numPr>
          <w:ilvl w:val="0"/>
          <w:numId w:val="1"/>
        </w:numPr>
        <w:ind w:hanging="360"/>
      </w:pPr>
      <w:r>
        <w:t xml:space="preserve">To provide guidance on the referral process and the suitability of alternative providers.  </w:t>
      </w:r>
    </w:p>
    <w:p w14:paraId="71036B66" w14:textId="77777777" w:rsidR="002D72CB" w:rsidRDefault="00922AD7">
      <w:pPr>
        <w:numPr>
          <w:ilvl w:val="0"/>
          <w:numId w:val="1"/>
        </w:numPr>
        <w:spacing w:after="49"/>
        <w:ind w:hanging="360"/>
      </w:pPr>
      <w:r>
        <w:t xml:space="preserve">To ensure there are suitable procedures in place relating to attendance and the safeguarding of students when under the care of alternative providers.  </w:t>
      </w:r>
    </w:p>
    <w:p w14:paraId="2B3C1BAC" w14:textId="77777777" w:rsidR="002D72CB" w:rsidRDefault="00922AD7">
      <w:pPr>
        <w:numPr>
          <w:ilvl w:val="0"/>
          <w:numId w:val="1"/>
        </w:numPr>
        <w:spacing w:after="47"/>
        <w:ind w:hanging="360"/>
      </w:pPr>
      <w:r>
        <w:t xml:space="preserve">To outline the arrangements in place for keeping in touch with students to monitor academic progress, behaviour and pastoral welfare.  </w:t>
      </w:r>
    </w:p>
    <w:p w14:paraId="3BFE5373" w14:textId="77777777" w:rsidR="002D72CB" w:rsidRDefault="00922AD7">
      <w:pPr>
        <w:numPr>
          <w:ilvl w:val="0"/>
          <w:numId w:val="1"/>
        </w:numPr>
        <w:ind w:hanging="360"/>
      </w:pPr>
      <w:r>
        <w:t xml:space="preserve">To guide and support staff with the monitoring and support of alternative provision.  </w:t>
      </w:r>
    </w:p>
    <w:p w14:paraId="26D444EF" w14:textId="77777777" w:rsidR="002D72CB" w:rsidRDefault="00922AD7">
      <w:pPr>
        <w:spacing w:after="0" w:line="259" w:lineRule="auto"/>
        <w:ind w:left="0" w:firstLine="0"/>
        <w:jc w:val="left"/>
      </w:pPr>
      <w:r>
        <w:t xml:space="preserve"> </w:t>
      </w:r>
    </w:p>
    <w:p w14:paraId="38655CB7" w14:textId="77777777" w:rsidR="002D72CB" w:rsidRDefault="00922AD7">
      <w:pPr>
        <w:pStyle w:val="Heading1"/>
        <w:ind w:left="345" w:hanging="360"/>
      </w:pPr>
      <w:bookmarkStart w:id="2" w:name="_Toc8524"/>
      <w:r>
        <w:t>REASONS ALTERNATIVE PROVISION MIGHT BE USED</w:t>
      </w:r>
      <w:r>
        <w:rPr>
          <w:u w:val="none"/>
        </w:rPr>
        <w:t xml:space="preserve"> </w:t>
      </w:r>
      <w:bookmarkEnd w:id="2"/>
    </w:p>
    <w:p w14:paraId="23A2B4CB" w14:textId="77777777" w:rsidR="002D72CB" w:rsidRDefault="00922AD7">
      <w:pPr>
        <w:spacing w:after="0" w:line="259" w:lineRule="auto"/>
        <w:ind w:left="0" w:firstLine="0"/>
        <w:jc w:val="left"/>
      </w:pPr>
      <w:r>
        <w:t xml:space="preserve"> </w:t>
      </w:r>
    </w:p>
    <w:p w14:paraId="33FEA132" w14:textId="01A4A534" w:rsidR="002D72CB" w:rsidRDefault="00922AD7">
      <w:pPr>
        <w:ind w:left="0" w:firstLine="0"/>
      </w:pPr>
      <w:r>
        <w:t>Sometimes, a</w:t>
      </w:r>
      <w:r w:rsidR="006F350D">
        <w:t xml:space="preserve"> Blackwater</w:t>
      </w:r>
      <w:r>
        <w:t xml:space="preserve"> Academy pupil may need their educational provision realigning.  This could be for a variety of reasons including:  </w:t>
      </w:r>
    </w:p>
    <w:p w14:paraId="4A7ABFA6" w14:textId="77777777" w:rsidR="002D72CB" w:rsidRDefault="00922AD7">
      <w:pPr>
        <w:numPr>
          <w:ilvl w:val="0"/>
          <w:numId w:val="2"/>
        </w:numPr>
        <w:ind w:hanging="360"/>
      </w:pPr>
      <w:r>
        <w:t xml:space="preserve">The student's strengths are not being developed through the academy curriculum. The academy recognises that students have different strengths and weaknesses and that the curriculum on offer may not always suit the student’s needs. There is, on occasions, a need to source a more vocational educational setting. </w:t>
      </w:r>
    </w:p>
    <w:p w14:paraId="62171DE4" w14:textId="77777777" w:rsidR="002D72CB" w:rsidRDefault="00922AD7">
      <w:pPr>
        <w:numPr>
          <w:ilvl w:val="0"/>
          <w:numId w:val="2"/>
        </w:numPr>
        <w:ind w:hanging="360"/>
      </w:pPr>
      <w:r>
        <w:t xml:space="preserve">The student has had a series of fixed-term exclusions and the behaviour support systems within the academy have been unsuccessful in supporting the student to change their behaviour.  </w:t>
      </w:r>
    </w:p>
    <w:p w14:paraId="2BE2A4D2" w14:textId="77777777" w:rsidR="002D72CB" w:rsidRDefault="00922AD7">
      <w:pPr>
        <w:numPr>
          <w:ilvl w:val="0"/>
          <w:numId w:val="2"/>
        </w:numPr>
        <w:ind w:hanging="360"/>
      </w:pPr>
      <w:r>
        <w:t xml:space="preserve">The student displays poor attendance at the academy. The academy recognises that poor attendance impacts on progress and where the support systems have been unsuccessful in addressing these concerns, alternative provision may be sourced to provide a different setting with a bespoke choice of subjects for students which may encourage attendance. Alternative provision may provide a greater opportunity for a student to progress to a suitable post-16 pathway. </w:t>
      </w:r>
    </w:p>
    <w:p w14:paraId="30D9E2D5" w14:textId="77777777" w:rsidR="002D72CB" w:rsidRDefault="00922AD7">
      <w:pPr>
        <w:spacing w:after="0" w:line="259" w:lineRule="auto"/>
        <w:ind w:left="0" w:firstLine="0"/>
        <w:jc w:val="left"/>
      </w:pPr>
      <w:r>
        <w:rPr>
          <w:rFonts w:ascii="Calibri" w:eastAsia="Calibri" w:hAnsi="Calibri" w:cs="Calibri"/>
          <w:b/>
        </w:rPr>
        <w:t xml:space="preserve"> </w:t>
      </w:r>
    </w:p>
    <w:p w14:paraId="31DFD75A" w14:textId="77777777" w:rsidR="002D72CB" w:rsidRDefault="00922AD7">
      <w:pPr>
        <w:pStyle w:val="Heading1"/>
        <w:ind w:left="345" w:hanging="360"/>
      </w:pPr>
      <w:bookmarkStart w:id="3" w:name="_Toc8525"/>
      <w:r>
        <w:t>REFERRAL AND MONITORING PROCESS</w:t>
      </w:r>
      <w:r>
        <w:rPr>
          <w:u w:val="none"/>
        </w:rPr>
        <w:t xml:space="preserve"> </w:t>
      </w:r>
      <w:bookmarkEnd w:id="3"/>
    </w:p>
    <w:p w14:paraId="73556698" w14:textId="77777777" w:rsidR="002D72CB" w:rsidRDefault="00922AD7">
      <w:pPr>
        <w:ind w:left="0" w:firstLine="0"/>
      </w:pPr>
      <w:r>
        <w:t xml:space="preserve">The decision to re-align a student to alternative provision lies with the Principal of the Academy. When this decision is made the following process takes place: </w:t>
      </w:r>
    </w:p>
    <w:p w14:paraId="2E4DB953" w14:textId="77777777" w:rsidR="002D72CB" w:rsidRDefault="00922AD7">
      <w:pPr>
        <w:spacing w:after="0" w:line="259" w:lineRule="auto"/>
        <w:ind w:left="0" w:firstLine="0"/>
        <w:jc w:val="left"/>
      </w:pPr>
      <w:r>
        <w:t xml:space="preserve"> </w:t>
      </w:r>
    </w:p>
    <w:p w14:paraId="76CB7267" w14:textId="77777777" w:rsidR="002D72CB" w:rsidRDefault="00922AD7">
      <w:pPr>
        <w:pStyle w:val="Heading2"/>
        <w:ind w:left="355" w:hanging="370"/>
      </w:pPr>
      <w:r>
        <w:t>Referral Process</w:t>
      </w:r>
      <w:r>
        <w:rPr>
          <w:u w:val="none"/>
        </w:rPr>
        <w:t xml:space="preserve"> </w:t>
      </w:r>
    </w:p>
    <w:p w14:paraId="75F0BDAB" w14:textId="77777777" w:rsidR="002D72CB" w:rsidRDefault="00922AD7">
      <w:pPr>
        <w:spacing w:after="15" w:line="259" w:lineRule="auto"/>
        <w:ind w:left="0" w:firstLine="0"/>
        <w:jc w:val="left"/>
      </w:pPr>
      <w:r>
        <w:t xml:space="preserve"> </w:t>
      </w:r>
    </w:p>
    <w:p w14:paraId="2FA94AD3" w14:textId="77777777" w:rsidR="002D72CB" w:rsidRDefault="00922AD7">
      <w:pPr>
        <w:numPr>
          <w:ilvl w:val="0"/>
          <w:numId w:val="3"/>
        </w:numPr>
        <w:ind w:hanging="360"/>
      </w:pPr>
      <w:r>
        <w:t xml:space="preserve">Student’s family are informed of the decision to place the pupil in another provision by the Head of School. </w:t>
      </w:r>
    </w:p>
    <w:p w14:paraId="0CA84451" w14:textId="77777777" w:rsidR="002D72CB" w:rsidRDefault="00922AD7">
      <w:pPr>
        <w:numPr>
          <w:ilvl w:val="0"/>
          <w:numId w:val="3"/>
        </w:numPr>
        <w:ind w:hanging="360"/>
      </w:pPr>
      <w:r>
        <w:t xml:space="preserve">Commissioning school are informed of the decision.  If the commissioning school do not support the decision the students will be </w:t>
      </w:r>
      <w:proofErr w:type="gramStart"/>
      <w:r>
        <w:t>referred back</w:t>
      </w:r>
      <w:proofErr w:type="gramEnd"/>
      <w:r>
        <w:t xml:space="preserve"> to them. </w:t>
      </w:r>
    </w:p>
    <w:p w14:paraId="2E518BBA" w14:textId="57EAD9F3" w:rsidR="002D72CB" w:rsidRDefault="00922AD7">
      <w:pPr>
        <w:numPr>
          <w:ilvl w:val="0"/>
          <w:numId w:val="3"/>
        </w:numPr>
        <w:ind w:hanging="360"/>
      </w:pPr>
      <w:r>
        <w:t xml:space="preserve">A discussion between </w:t>
      </w:r>
      <w:r w:rsidR="006F350D">
        <w:t>Blackwater</w:t>
      </w:r>
      <w:r>
        <w:t xml:space="preserve"> Academy, student and family takes place to identify possible AP providers that may best suit the student’s needs. </w:t>
      </w:r>
    </w:p>
    <w:p w14:paraId="096A302C" w14:textId="76B40E05" w:rsidR="002D72CB" w:rsidRDefault="00922AD7">
      <w:pPr>
        <w:numPr>
          <w:ilvl w:val="0"/>
          <w:numId w:val="3"/>
        </w:numPr>
        <w:ind w:hanging="360"/>
      </w:pPr>
      <w:r>
        <w:t xml:space="preserve">Principal contacts </w:t>
      </w:r>
      <w:r w:rsidR="006F350D">
        <w:t>Blackwater</w:t>
      </w:r>
      <w:r>
        <w:t xml:space="preserve"> Academy Personal Coach with responsibility for monitoring students in AP who in turn will </w:t>
      </w:r>
      <w:proofErr w:type="gramStart"/>
      <w:r>
        <w:t>make contact with</w:t>
      </w:r>
      <w:proofErr w:type="gramEnd"/>
      <w:r>
        <w:t xml:space="preserve"> the family. </w:t>
      </w:r>
    </w:p>
    <w:p w14:paraId="49C6B40B" w14:textId="46959285" w:rsidR="002D72CB" w:rsidRDefault="00922AD7">
      <w:pPr>
        <w:numPr>
          <w:ilvl w:val="0"/>
          <w:numId w:val="3"/>
        </w:numPr>
        <w:ind w:hanging="360"/>
      </w:pPr>
      <w:r>
        <w:t xml:space="preserve">The </w:t>
      </w:r>
      <w:r w:rsidR="006F350D">
        <w:t>Blackwater</w:t>
      </w:r>
      <w:r>
        <w:t xml:space="preserve"> Academy Personal Coach with responsibility for monitoring students in AP will liaise with </w:t>
      </w:r>
      <w:r w:rsidR="006F350D">
        <w:t>Blackwater</w:t>
      </w:r>
      <w:r>
        <w:t xml:space="preserve"> AP Co-Ordinator to source a placement taking into consideration, placement availability, the reasons why the pupil needs Alternative Provision, where they live and what they are interested in. </w:t>
      </w:r>
    </w:p>
    <w:p w14:paraId="66F5DC57" w14:textId="62C1B5B2" w:rsidR="002D72CB" w:rsidRDefault="00922AD7">
      <w:pPr>
        <w:numPr>
          <w:ilvl w:val="0"/>
          <w:numId w:val="3"/>
        </w:numPr>
        <w:ind w:hanging="360"/>
      </w:pPr>
      <w:r>
        <w:t xml:space="preserve">Initial enquiries to be made with relevant Providers by </w:t>
      </w:r>
      <w:r w:rsidR="006F350D">
        <w:t>Blackwater</w:t>
      </w:r>
      <w:r>
        <w:t xml:space="preserve"> AP Co-Ordinator.   </w:t>
      </w:r>
    </w:p>
    <w:p w14:paraId="0112E75A" w14:textId="2C216A6B" w:rsidR="002D72CB" w:rsidRDefault="00922AD7">
      <w:pPr>
        <w:numPr>
          <w:ilvl w:val="0"/>
          <w:numId w:val="3"/>
        </w:numPr>
        <w:ind w:hanging="360"/>
      </w:pPr>
      <w:r>
        <w:t xml:space="preserve">A meeting will be arranged with </w:t>
      </w:r>
      <w:r w:rsidR="006F350D">
        <w:t>Blackwater</w:t>
      </w:r>
      <w:r>
        <w:t xml:space="preserve"> Personal Coach, student, family and new provider and referral forms sent to provider. </w:t>
      </w:r>
    </w:p>
    <w:p w14:paraId="4D4210D5" w14:textId="6BDDDA7C" w:rsidR="002D72CB" w:rsidRDefault="00922AD7">
      <w:pPr>
        <w:numPr>
          <w:ilvl w:val="0"/>
          <w:numId w:val="3"/>
        </w:numPr>
        <w:spacing w:after="61"/>
        <w:ind w:hanging="360"/>
      </w:pPr>
      <w:r>
        <w:t xml:space="preserve">When start gate given </w:t>
      </w:r>
      <w:r w:rsidR="006F350D">
        <w:t>Blackwater</w:t>
      </w:r>
      <w:r>
        <w:t xml:space="preserve"> Personal Coach will inform </w:t>
      </w:r>
      <w:r w:rsidR="006F350D">
        <w:t>Blackwater</w:t>
      </w:r>
      <w:r>
        <w:t xml:space="preserve"> AP Co-Ordinator and CLM (AP online attendance monitoring system) will be updated to ensure attendance monitoring happens from start date. </w:t>
      </w:r>
    </w:p>
    <w:p w14:paraId="7A8C8A80" w14:textId="77777777" w:rsidR="002D72CB" w:rsidRDefault="00922AD7">
      <w:pPr>
        <w:numPr>
          <w:ilvl w:val="0"/>
          <w:numId w:val="3"/>
        </w:numPr>
        <w:spacing w:after="164"/>
        <w:ind w:hanging="360"/>
      </w:pPr>
      <w:r>
        <w:t xml:space="preserve">The Academy’s internal MIS system and mobility register will be amended to reflect the change in provision by the relevant members of staff. </w:t>
      </w:r>
    </w:p>
    <w:p w14:paraId="7CAA54F8" w14:textId="77777777" w:rsidR="002D72CB" w:rsidRDefault="00922AD7">
      <w:pPr>
        <w:pStyle w:val="Heading2"/>
        <w:spacing w:after="176"/>
        <w:ind w:left="353" w:hanging="368"/>
      </w:pPr>
      <w:r>
        <w:t>Monitoring Process</w:t>
      </w:r>
      <w:r>
        <w:rPr>
          <w:u w:val="none"/>
        </w:rPr>
        <w:t xml:space="preserve"> </w:t>
      </w:r>
    </w:p>
    <w:p w14:paraId="2D8AB3B1" w14:textId="1395ED81" w:rsidR="002D72CB" w:rsidRDefault="00922AD7">
      <w:pPr>
        <w:numPr>
          <w:ilvl w:val="0"/>
          <w:numId w:val="4"/>
        </w:numPr>
        <w:ind w:hanging="360"/>
      </w:pPr>
      <w:r>
        <w:t xml:space="preserve">Once the placement has started </w:t>
      </w:r>
      <w:r w:rsidR="006F350D">
        <w:t>Blackwater</w:t>
      </w:r>
      <w:r>
        <w:t xml:space="preserve"> Personal Coach will support the students in the placement. The level of support depends on student’s attendance, progress and engagement. Regular visits to providers and meetings with students are made and recorded </w:t>
      </w:r>
    </w:p>
    <w:p w14:paraId="3D1C620C" w14:textId="6A21396E" w:rsidR="002D72CB" w:rsidRDefault="00922AD7">
      <w:pPr>
        <w:numPr>
          <w:ilvl w:val="0"/>
          <w:numId w:val="4"/>
        </w:numPr>
        <w:ind w:hanging="360"/>
      </w:pPr>
      <w:r>
        <w:t xml:space="preserve">Daily attendance at the placement will be monitored by </w:t>
      </w:r>
      <w:r w:rsidR="006F350D">
        <w:t>Blackwater</w:t>
      </w:r>
      <w:r>
        <w:t xml:space="preserve"> Academy Personal Coach and the Academy administration team via CLM </w:t>
      </w:r>
    </w:p>
    <w:p w14:paraId="04EA2A8C" w14:textId="0E52C73F" w:rsidR="002D72CB" w:rsidRDefault="00922AD7">
      <w:pPr>
        <w:numPr>
          <w:ilvl w:val="0"/>
          <w:numId w:val="4"/>
        </w:numPr>
        <w:ind w:hanging="360"/>
      </w:pPr>
      <w:r>
        <w:t xml:space="preserve">Progress data collated once per term by </w:t>
      </w:r>
      <w:r w:rsidR="006F350D">
        <w:t>Blackwater</w:t>
      </w:r>
      <w:r>
        <w:t xml:space="preserve"> AP Co-Ordinator, in line with the Academy Assessment schedule </w:t>
      </w:r>
    </w:p>
    <w:p w14:paraId="266EFB94" w14:textId="66D172D6" w:rsidR="002D72CB" w:rsidRDefault="00922AD7">
      <w:pPr>
        <w:numPr>
          <w:ilvl w:val="0"/>
          <w:numId w:val="4"/>
        </w:numPr>
        <w:ind w:hanging="360"/>
      </w:pPr>
      <w:r>
        <w:t xml:space="preserve">Any issues with student in Alternative Provision are fed back to </w:t>
      </w:r>
      <w:r w:rsidR="006F350D">
        <w:t>Blackwater</w:t>
      </w:r>
      <w:r>
        <w:t xml:space="preserve"> Personal Coach or </w:t>
      </w:r>
      <w:r w:rsidR="006F350D">
        <w:t xml:space="preserve">Blackwater </w:t>
      </w:r>
      <w:r>
        <w:t xml:space="preserve">AP Co-Ordinator for follow up and action </w:t>
      </w:r>
    </w:p>
    <w:p w14:paraId="0AB61185" w14:textId="112CAB48" w:rsidR="002D72CB" w:rsidRDefault="00922AD7">
      <w:pPr>
        <w:numPr>
          <w:ilvl w:val="0"/>
          <w:numId w:val="4"/>
        </w:numPr>
        <w:spacing w:after="170"/>
        <w:ind w:hanging="360"/>
      </w:pPr>
      <w:r>
        <w:t xml:space="preserve">If required, the </w:t>
      </w:r>
      <w:r w:rsidR="006F350D">
        <w:t>Blackwater</w:t>
      </w:r>
      <w:r>
        <w:t xml:space="preserve"> Personal Coach will liaise with the </w:t>
      </w:r>
      <w:proofErr w:type="gramStart"/>
      <w:r>
        <w:t>Principal</w:t>
      </w:r>
      <w:proofErr w:type="gramEnd"/>
      <w:r>
        <w:t xml:space="preserve"> to realign provision further if needed.  Any new placements from hereon will be fed back to referring school / </w:t>
      </w:r>
      <w:r w:rsidR="006F350D">
        <w:t>Blackwater</w:t>
      </w:r>
      <w:r>
        <w:t xml:space="preserve"> via </w:t>
      </w:r>
      <w:r w:rsidR="006F350D">
        <w:t>Blackwater</w:t>
      </w:r>
      <w:r>
        <w:t xml:space="preserve"> Co-Ordinator. </w:t>
      </w:r>
    </w:p>
    <w:p w14:paraId="05CACA00" w14:textId="53F9CC5F" w:rsidR="002D72CB" w:rsidRDefault="00922AD7">
      <w:pPr>
        <w:ind w:left="0" w:firstLine="0"/>
      </w:pPr>
      <w:r>
        <w:t xml:space="preserve">Students who are referred to alternative provision will remain on roll with </w:t>
      </w:r>
      <w:r w:rsidR="006F350D">
        <w:t>Blackwater</w:t>
      </w:r>
      <w:r>
        <w:t xml:space="preserve"> Academy and the Academy will fund their place in alternative provision. The referring school remains ultimately responsible for the student, and the offer of alternative provision shows a commitment by the school to an inclusive approach to the student’s education.  </w:t>
      </w:r>
    </w:p>
    <w:p w14:paraId="4FB41BB2" w14:textId="77777777" w:rsidR="002D72CB" w:rsidRDefault="00922AD7">
      <w:pPr>
        <w:spacing w:after="158" w:line="259" w:lineRule="auto"/>
        <w:ind w:left="0" w:firstLine="0"/>
        <w:jc w:val="left"/>
      </w:pPr>
      <w:r>
        <w:t xml:space="preserve"> </w:t>
      </w:r>
    </w:p>
    <w:p w14:paraId="4B975042" w14:textId="77777777" w:rsidR="002D72CB" w:rsidRDefault="00922AD7">
      <w:pPr>
        <w:pStyle w:val="Heading1"/>
        <w:ind w:left="345" w:hanging="360"/>
      </w:pPr>
      <w:bookmarkStart w:id="4" w:name="_Toc8526"/>
      <w:r>
        <w:t>ROLES AND RESPONSIBILITIES</w:t>
      </w:r>
      <w:r>
        <w:rPr>
          <w:u w:val="none"/>
        </w:rPr>
        <w:t xml:space="preserve"> </w:t>
      </w:r>
      <w:bookmarkEnd w:id="4"/>
    </w:p>
    <w:p w14:paraId="06EED097" w14:textId="77777777" w:rsidR="002D72CB" w:rsidRDefault="00922AD7">
      <w:pPr>
        <w:spacing w:after="0" w:line="259" w:lineRule="auto"/>
        <w:ind w:left="0" w:firstLine="0"/>
        <w:jc w:val="left"/>
      </w:pPr>
      <w:r>
        <w:rPr>
          <w:rFonts w:ascii="Calibri" w:eastAsia="Calibri" w:hAnsi="Calibri" w:cs="Calibri"/>
          <w:sz w:val="23"/>
        </w:rPr>
        <w:t xml:space="preserve">  </w:t>
      </w:r>
    </w:p>
    <w:p w14:paraId="12C4F7D1" w14:textId="77777777" w:rsidR="002D72CB" w:rsidRDefault="00922AD7">
      <w:pPr>
        <w:spacing w:after="3" w:line="259" w:lineRule="auto"/>
        <w:ind w:left="-5" w:hanging="10"/>
        <w:jc w:val="left"/>
      </w:pPr>
      <w:r>
        <w:rPr>
          <w:b/>
          <w:u w:val="single" w:color="000000"/>
        </w:rPr>
        <w:t>5.1 Local Governing Body</w:t>
      </w:r>
      <w:r>
        <w:t xml:space="preserve"> will:  </w:t>
      </w:r>
    </w:p>
    <w:p w14:paraId="2963C0ED" w14:textId="77777777" w:rsidR="002D72CB" w:rsidRDefault="00922AD7">
      <w:pPr>
        <w:numPr>
          <w:ilvl w:val="0"/>
          <w:numId w:val="5"/>
        </w:numPr>
        <w:ind w:hanging="360"/>
      </w:pPr>
      <w:r>
        <w:t xml:space="preserve">Monitor the implementation of the Alternative Provision Policy and review it on a regular basis.  </w:t>
      </w:r>
    </w:p>
    <w:p w14:paraId="72ED202F" w14:textId="77777777" w:rsidR="002D72CB" w:rsidRDefault="00922AD7">
      <w:pPr>
        <w:spacing w:after="0" w:line="259" w:lineRule="auto"/>
        <w:ind w:left="0" w:firstLine="0"/>
        <w:jc w:val="left"/>
      </w:pPr>
      <w:r>
        <w:t xml:space="preserve"> </w:t>
      </w:r>
    </w:p>
    <w:p w14:paraId="0DF88DFC" w14:textId="77777777" w:rsidR="002D72CB" w:rsidRDefault="00922AD7">
      <w:pPr>
        <w:spacing w:after="3" w:line="259" w:lineRule="auto"/>
        <w:ind w:left="-5" w:hanging="10"/>
        <w:jc w:val="left"/>
      </w:pPr>
      <w:r>
        <w:rPr>
          <w:b/>
          <w:u w:val="single" w:color="000000"/>
        </w:rPr>
        <w:t xml:space="preserve">5.2 Principal </w:t>
      </w:r>
      <w:r>
        <w:t xml:space="preserve">will:  </w:t>
      </w:r>
    </w:p>
    <w:p w14:paraId="136BA709" w14:textId="77777777" w:rsidR="002D72CB" w:rsidRDefault="00922AD7">
      <w:pPr>
        <w:numPr>
          <w:ilvl w:val="0"/>
          <w:numId w:val="5"/>
        </w:numPr>
        <w:spacing w:after="69"/>
        <w:ind w:hanging="360"/>
      </w:pPr>
      <w:r>
        <w:t xml:space="preserve">Take overall responsibility for the Academy’s use of alternative provision for certain students. Report to the Governing Body on the effectiveness of the implementation of the Alternative Provision Policy.  </w:t>
      </w:r>
    </w:p>
    <w:p w14:paraId="23F3B75F" w14:textId="77777777" w:rsidR="002D72CB" w:rsidRDefault="00922AD7">
      <w:pPr>
        <w:numPr>
          <w:ilvl w:val="0"/>
          <w:numId w:val="5"/>
        </w:numPr>
        <w:spacing w:after="69"/>
        <w:ind w:hanging="360"/>
      </w:pPr>
      <w:r>
        <w:t xml:space="preserve">Understand and comply with the guidelines detailed within the Alternative Provision Policy and other related documents.  </w:t>
      </w:r>
    </w:p>
    <w:p w14:paraId="57CE8CB4" w14:textId="77777777" w:rsidR="002D72CB" w:rsidRDefault="00922AD7">
      <w:pPr>
        <w:numPr>
          <w:ilvl w:val="0"/>
          <w:numId w:val="5"/>
        </w:numPr>
        <w:spacing w:after="69"/>
        <w:ind w:hanging="360"/>
      </w:pPr>
      <w:r>
        <w:t xml:space="preserve">Arrange for the appointment of an appropriate member of staff to attend meetings relating to student referrals and conduct regular progress visits to the alternative provider.  </w:t>
      </w:r>
    </w:p>
    <w:p w14:paraId="29F8C363" w14:textId="77777777" w:rsidR="002D72CB" w:rsidRDefault="00922AD7">
      <w:pPr>
        <w:numPr>
          <w:ilvl w:val="0"/>
          <w:numId w:val="5"/>
        </w:numPr>
        <w:ind w:hanging="360"/>
      </w:pPr>
      <w:r>
        <w:t xml:space="preserve">Continually assess the quality and suitability of providers of alternative education for our students.  </w:t>
      </w:r>
    </w:p>
    <w:p w14:paraId="476C7951" w14:textId="77777777" w:rsidR="002D72CB" w:rsidRDefault="00922AD7">
      <w:pPr>
        <w:numPr>
          <w:ilvl w:val="0"/>
          <w:numId w:val="5"/>
        </w:numPr>
        <w:spacing w:after="54"/>
        <w:ind w:hanging="360"/>
      </w:pPr>
      <w:r>
        <w:t xml:space="preserve">Ensure that the alternative provider is registered and approved and that they have relevant policies in place to cover Safeguarding, Child Protection and Health &amp; Safety.  </w:t>
      </w:r>
    </w:p>
    <w:p w14:paraId="2776F5CA" w14:textId="77777777" w:rsidR="002D72CB" w:rsidRDefault="00922AD7">
      <w:pPr>
        <w:spacing w:after="0" w:line="259" w:lineRule="auto"/>
        <w:ind w:left="0" w:firstLine="0"/>
        <w:jc w:val="left"/>
      </w:pPr>
      <w:r>
        <w:t xml:space="preserve"> </w:t>
      </w:r>
    </w:p>
    <w:p w14:paraId="19C0064D" w14:textId="7CC0DA02" w:rsidR="002D72CB" w:rsidRDefault="006F350D">
      <w:pPr>
        <w:pStyle w:val="Heading2"/>
        <w:ind w:left="446" w:hanging="461"/>
      </w:pPr>
      <w:r>
        <w:t>Blackwater</w:t>
      </w:r>
      <w:r w:rsidR="00922AD7">
        <w:t xml:space="preserve"> Academy Personal Coach for with responsibility for monitoring Alternative</w:t>
      </w:r>
      <w:r w:rsidR="00922AD7">
        <w:rPr>
          <w:u w:val="none"/>
        </w:rPr>
        <w:t xml:space="preserve"> </w:t>
      </w:r>
    </w:p>
    <w:p w14:paraId="76BE691F" w14:textId="77777777" w:rsidR="002D72CB" w:rsidRDefault="00922AD7">
      <w:pPr>
        <w:spacing w:after="3" w:line="259" w:lineRule="auto"/>
        <w:ind w:left="-5" w:hanging="10"/>
        <w:jc w:val="left"/>
      </w:pPr>
      <w:r>
        <w:rPr>
          <w:b/>
          <w:u w:val="single" w:color="000000"/>
        </w:rPr>
        <w:t>Provision</w:t>
      </w:r>
      <w:r>
        <w:t xml:space="preserve"> will:  </w:t>
      </w:r>
    </w:p>
    <w:p w14:paraId="01D3D076" w14:textId="77777777" w:rsidR="002D72CB" w:rsidRDefault="00922AD7">
      <w:pPr>
        <w:numPr>
          <w:ilvl w:val="0"/>
          <w:numId w:val="6"/>
        </w:numPr>
        <w:ind w:hanging="360"/>
      </w:pPr>
      <w:r>
        <w:t xml:space="preserve">Liaise with the Designated Safeguarding Lead, SENCO, Examinations and Data Manager, Attendance Administrator, and other relevant staff to ensure that the appropriate measures are in place to support students who are being educated in an alternative setting.  </w:t>
      </w:r>
    </w:p>
    <w:p w14:paraId="35F0FEA2" w14:textId="77777777" w:rsidR="002D72CB" w:rsidRDefault="00922AD7">
      <w:pPr>
        <w:numPr>
          <w:ilvl w:val="0"/>
          <w:numId w:val="6"/>
        </w:numPr>
        <w:ind w:hanging="360"/>
      </w:pPr>
      <w:r>
        <w:t xml:space="preserve">Undertake periodic visits to the alternative provision sites to review the progress of the relevant students, as requested by the Senior Leadership Team.  </w:t>
      </w:r>
    </w:p>
    <w:p w14:paraId="7965566E" w14:textId="77777777" w:rsidR="002D72CB" w:rsidRDefault="00922AD7">
      <w:pPr>
        <w:numPr>
          <w:ilvl w:val="0"/>
          <w:numId w:val="6"/>
        </w:numPr>
        <w:spacing w:after="40"/>
        <w:ind w:hanging="360"/>
      </w:pPr>
      <w:r>
        <w:t xml:space="preserve">Decide, in collaboration with the Senior Leadership Team, on the appropriate course of action if informed of any serious behavioural incidents by an alternative provider.  </w:t>
      </w:r>
    </w:p>
    <w:p w14:paraId="3FB1B90A" w14:textId="1C3199D2" w:rsidR="002D72CB" w:rsidRDefault="00922AD7">
      <w:pPr>
        <w:numPr>
          <w:ilvl w:val="0"/>
          <w:numId w:val="6"/>
        </w:numPr>
        <w:ind w:hanging="360"/>
      </w:pPr>
      <w:r>
        <w:t xml:space="preserve">Arrange for the appropriate intervention when a student’s attendance falls below the </w:t>
      </w:r>
      <w:r w:rsidR="006F350D">
        <w:t>Blackwater</w:t>
      </w:r>
      <w:r>
        <w:t xml:space="preserve"> Academy target.  </w:t>
      </w:r>
    </w:p>
    <w:p w14:paraId="201490DF" w14:textId="77777777" w:rsidR="002D72CB" w:rsidRDefault="00922AD7">
      <w:pPr>
        <w:spacing w:after="0" w:line="259" w:lineRule="auto"/>
        <w:ind w:left="0" w:firstLine="0"/>
        <w:jc w:val="left"/>
      </w:pPr>
      <w:r>
        <w:t xml:space="preserve"> </w:t>
      </w:r>
    </w:p>
    <w:p w14:paraId="5006857D" w14:textId="77777777" w:rsidR="002D72CB" w:rsidRDefault="00922AD7">
      <w:pPr>
        <w:spacing w:after="3" w:line="259" w:lineRule="auto"/>
        <w:ind w:left="-5" w:hanging="10"/>
        <w:jc w:val="left"/>
      </w:pPr>
      <w:r>
        <w:rPr>
          <w:b/>
          <w:u w:val="single" w:color="000000"/>
        </w:rPr>
        <w:t>5.4</w:t>
      </w:r>
      <w:r>
        <w:rPr>
          <w:b/>
        </w:rPr>
        <w:t xml:space="preserve"> </w:t>
      </w:r>
      <w:r>
        <w:rPr>
          <w:b/>
          <w:u w:val="single" w:color="000000"/>
        </w:rPr>
        <w:t>Attendance Administrator</w:t>
      </w:r>
      <w:r>
        <w:t xml:space="preserve"> will:  </w:t>
      </w:r>
    </w:p>
    <w:p w14:paraId="253BFB62" w14:textId="57659FB7" w:rsidR="002D72CB" w:rsidRDefault="00922AD7">
      <w:pPr>
        <w:numPr>
          <w:ilvl w:val="0"/>
          <w:numId w:val="6"/>
        </w:numPr>
        <w:spacing w:after="51"/>
        <w:ind w:hanging="360"/>
      </w:pPr>
      <w:r>
        <w:t xml:space="preserve">Liaise with the </w:t>
      </w:r>
      <w:r w:rsidR="006F350D">
        <w:t>Blackwater</w:t>
      </w:r>
      <w:r>
        <w:t xml:space="preserve"> Academy Personal Coach with responsibility for monitoring Alternative Provision to monitor attendance of students referred to alternative providers and update records on a weekly basis.  </w:t>
      </w:r>
    </w:p>
    <w:p w14:paraId="09279275" w14:textId="77777777" w:rsidR="002D72CB" w:rsidRDefault="00922AD7">
      <w:pPr>
        <w:numPr>
          <w:ilvl w:val="0"/>
          <w:numId w:val="6"/>
        </w:numPr>
        <w:ind w:hanging="360"/>
      </w:pPr>
      <w:r>
        <w:t xml:space="preserve">Provide attendance updates to the Senior Leadership Team. </w:t>
      </w:r>
    </w:p>
    <w:p w14:paraId="4E2A3A4A" w14:textId="77777777" w:rsidR="002D72CB" w:rsidRDefault="00922AD7">
      <w:pPr>
        <w:spacing w:after="0" w:line="259" w:lineRule="auto"/>
        <w:ind w:left="0" w:firstLine="0"/>
        <w:jc w:val="left"/>
      </w:pPr>
      <w:r>
        <w:t xml:space="preserve"> </w:t>
      </w:r>
    </w:p>
    <w:p w14:paraId="450B1408" w14:textId="77777777" w:rsidR="002D72CB" w:rsidRDefault="00922AD7">
      <w:pPr>
        <w:spacing w:after="0" w:line="259" w:lineRule="auto"/>
        <w:ind w:left="0" w:firstLine="0"/>
        <w:jc w:val="left"/>
      </w:pPr>
      <w:r>
        <w:t xml:space="preserve"> </w:t>
      </w:r>
    </w:p>
    <w:p w14:paraId="550C4701" w14:textId="77777777" w:rsidR="002D72CB" w:rsidRDefault="00922AD7">
      <w:pPr>
        <w:spacing w:after="3" w:line="259" w:lineRule="auto"/>
        <w:ind w:left="-5" w:hanging="10"/>
        <w:jc w:val="left"/>
      </w:pPr>
      <w:r>
        <w:rPr>
          <w:b/>
          <w:u w:val="single" w:color="000000"/>
        </w:rPr>
        <w:t>5.5 Examinations and Data Manager</w:t>
      </w:r>
      <w:r>
        <w:t xml:space="preserve"> will:  </w:t>
      </w:r>
    </w:p>
    <w:p w14:paraId="530CD1DF" w14:textId="77777777" w:rsidR="002D72CB" w:rsidRDefault="00922AD7">
      <w:pPr>
        <w:numPr>
          <w:ilvl w:val="0"/>
          <w:numId w:val="6"/>
        </w:numPr>
        <w:spacing w:after="69"/>
        <w:ind w:hanging="360"/>
      </w:pPr>
      <w:r>
        <w:t xml:space="preserve">Provide relevant student data to help facilitate the transition from school to the alternative provider. </w:t>
      </w:r>
    </w:p>
    <w:p w14:paraId="2DDC300E" w14:textId="77777777" w:rsidR="002D72CB" w:rsidRDefault="00922AD7">
      <w:pPr>
        <w:numPr>
          <w:ilvl w:val="0"/>
          <w:numId w:val="6"/>
        </w:numPr>
        <w:spacing w:after="69"/>
        <w:ind w:hanging="360"/>
      </w:pPr>
      <w:r>
        <w:t xml:space="preserve">Coordinate arrangements with the alternative provider for public examination entries and the completion of public examinations.  </w:t>
      </w:r>
    </w:p>
    <w:p w14:paraId="732C4CF8" w14:textId="620C014F" w:rsidR="002D72CB" w:rsidRDefault="00922AD7">
      <w:pPr>
        <w:numPr>
          <w:ilvl w:val="0"/>
          <w:numId w:val="6"/>
        </w:numPr>
        <w:spacing w:after="54"/>
        <w:ind w:hanging="360"/>
      </w:pPr>
      <w:r>
        <w:t xml:space="preserve">Liaise with the </w:t>
      </w:r>
      <w:r w:rsidR="006F350D">
        <w:t xml:space="preserve">Blackwater </w:t>
      </w:r>
      <w:r>
        <w:t xml:space="preserve">Academy Personal Coach for with responsibility for monitoring Alternative Provision to ensure the system for tracking student progress is accurately recorded during the scheduled windows for data capture.  </w:t>
      </w:r>
    </w:p>
    <w:p w14:paraId="0591B5AA" w14:textId="77777777" w:rsidR="002D72CB" w:rsidRDefault="00922AD7">
      <w:pPr>
        <w:spacing w:after="0" w:line="259" w:lineRule="auto"/>
        <w:ind w:left="0" w:firstLine="0"/>
        <w:jc w:val="left"/>
      </w:pPr>
      <w:r>
        <w:t xml:space="preserve"> </w:t>
      </w:r>
    </w:p>
    <w:p w14:paraId="41F30011" w14:textId="77777777" w:rsidR="002D72CB" w:rsidRDefault="00922AD7">
      <w:pPr>
        <w:spacing w:after="3" w:line="259" w:lineRule="auto"/>
        <w:ind w:left="-5" w:hanging="10"/>
        <w:jc w:val="left"/>
      </w:pPr>
      <w:r>
        <w:rPr>
          <w:b/>
          <w:u w:val="single" w:color="000000"/>
        </w:rPr>
        <w:t>5.6 Special Educational Needs and Coordinator</w:t>
      </w:r>
      <w:r>
        <w:t xml:space="preserve"> (SENCO) will:  </w:t>
      </w:r>
    </w:p>
    <w:p w14:paraId="225666B1" w14:textId="77777777" w:rsidR="002D72CB" w:rsidRDefault="00922AD7">
      <w:pPr>
        <w:numPr>
          <w:ilvl w:val="0"/>
          <w:numId w:val="6"/>
        </w:numPr>
        <w:ind w:hanging="360"/>
      </w:pPr>
      <w:r>
        <w:t xml:space="preserve">If appropriate, provide details of provision mapping and other relevant information to the alternative provider to cater for the special educational needs of students.  </w:t>
      </w:r>
    </w:p>
    <w:p w14:paraId="67AE57F5" w14:textId="77777777" w:rsidR="002D72CB" w:rsidRDefault="00922AD7">
      <w:pPr>
        <w:spacing w:after="0" w:line="259" w:lineRule="auto"/>
        <w:ind w:left="0" w:firstLine="0"/>
        <w:jc w:val="left"/>
      </w:pPr>
      <w:r>
        <w:t xml:space="preserve"> </w:t>
      </w:r>
    </w:p>
    <w:p w14:paraId="26715308" w14:textId="77777777" w:rsidR="002D72CB" w:rsidRDefault="00922AD7">
      <w:pPr>
        <w:spacing w:after="3" w:line="259" w:lineRule="auto"/>
        <w:ind w:left="-5" w:hanging="10"/>
        <w:jc w:val="left"/>
      </w:pPr>
      <w:r>
        <w:rPr>
          <w:b/>
          <w:u w:val="single" w:color="000000"/>
        </w:rPr>
        <w:t>5.7 Finance Department</w:t>
      </w:r>
      <w:r>
        <w:t xml:space="preserve"> will:  </w:t>
      </w:r>
    </w:p>
    <w:p w14:paraId="648B2B80" w14:textId="77777777" w:rsidR="002D72CB" w:rsidRDefault="00922AD7">
      <w:pPr>
        <w:numPr>
          <w:ilvl w:val="0"/>
          <w:numId w:val="6"/>
        </w:numPr>
        <w:ind w:hanging="360"/>
      </w:pPr>
      <w:r>
        <w:t xml:space="preserve">Handle the payment process in relation to alternative provision as authorised by the </w:t>
      </w:r>
      <w:proofErr w:type="gramStart"/>
      <w:r>
        <w:t>Principal</w:t>
      </w:r>
      <w:proofErr w:type="gramEnd"/>
      <w:r>
        <w:t xml:space="preserve"> or person with budget holder responsibility.  </w:t>
      </w:r>
    </w:p>
    <w:p w14:paraId="4A10C649" w14:textId="77777777" w:rsidR="002D72CB" w:rsidRDefault="00922AD7">
      <w:pPr>
        <w:spacing w:after="0" w:line="259" w:lineRule="auto"/>
        <w:ind w:left="0" w:firstLine="0"/>
        <w:jc w:val="left"/>
      </w:pPr>
      <w:r>
        <w:t xml:space="preserve"> </w:t>
      </w:r>
    </w:p>
    <w:p w14:paraId="0093B0DF" w14:textId="77777777" w:rsidR="002D72CB" w:rsidRDefault="00922AD7">
      <w:pPr>
        <w:pStyle w:val="Heading1"/>
        <w:ind w:left="345" w:hanging="360"/>
      </w:pPr>
      <w:bookmarkStart w:id="5" w:name="_Toc8527"/>
      <w:r>
        <w:t>SUITABILITY OF PROVIDERS</w:t>
      </w:r>
      <w:r>
        <w:rPr>
          <w:u w:val="none"/>
        </w:rPr>
        <w:t xml:space="preserve"> </w:t>
      </w:r>
      <w:bookmarkEnd w:id="5"/>
    </w:p>
    <w:p w14:paraId="3CF50007" w14:textId="77777777" w:rsidR="002D72CB" w:rsidRDefault="00922AD7">
      <w:pPr>
        <w:spacing w:after="0" w:line="259" w:lineRule="auto"/>
        <w:ind w:left="0" w:firstLine="0"/>
        <w:jc w:val="left"/>
      </w:pPr>
      <w:r>
        <w:t xml:space="preserve"> </w:t>
      </w:r>
    </w:p>
    <w:p w14:paraId="1E0EDC0C" w14:textId="38263647" w:rsidR="002D72CB" w:rsidRDefault="006F350D">
      <w:pPr>
        <w:spacing w:after="33"/>
        <w:ind w:left="0" w:firstLine="0"/>
      </w:pPr>
      <w:r>
        <w:t>Blackwater</w:t>
      </w:r>
      <w:r w:rsidR="00922AD7">
        <w:t xml:space="preserve"> Academy </w:t>
      </w:r>
      <w:proofErr w:type="gramStart"/>
      <w:r w:rsidR="00922AD7">
        <w:t>is able to</w:t>
      </w:r>
      <w:proofErr w:type="gramEnd"/>
      <w:r w:rsidR="00922AD7">
        <w:t xml:space="preserve"> access a variety of alternative provision placements and there should always be a clear rationale in place to ensure that this provision will allow the student to make good academic progress. The Academy aims to continually assess the quality and suitability of the providers of alternative education for our students. Quality Assurance visits to all providers are undertaken by </w:t>
      </w:r>
      <w:r>
        <w:t xml:space="preserve">Blackwater Academy </w:t>
      </w:r>
      <w:r w:rsidR="00922AD7">
        <w:t xml:space="preserve">on an annual basis and a comprehensive report produced. It is the responsibility of </w:t>
      </w:r>
      <w:r>
        <w:t>Blackwater</w:t>
      </w:r>
      <w:r w:rsidR="00922AD7">
        <w:t xml:space="preserve"> Academy to ensure that the alternative provider is working within DfE and Keeping Children Safe in Education guidelines</w:t>
      </w:r>
      <w:r w:rsidR="00922AD7">
        <w:rPr>
          <w:b/>
        </w:rPr>
        <w:t xml:space="preserve"> </w:t>
      </w:r>
      <w:r w:rsidR="00922AD7">
        <w:t xml:space="preserve">and that they have relevant policies in place to cover Safeguarding, Child Protection and Health &amp; Safety. This can include independent schools, other Alternative Provision Free Schools and training providers. All students who are referred to alternative provision will have access to a core curriculum, as well as an alternative curriculum covering a range of other subjects. All the qualifications they receive will be nationally recognised and enable progression to further education. In the rare event that no Alternative Provider is deemed to be </w:t>
      </w:r>
      <w:proofErr w:type="gramStart"/>
      <w:r w:rsidR="00922AD7">
        <w:t>suitable</w:t>
      </w:r>
      <w:proofErr w:type="gramEnd"/>
      <w:r w:rsidR="00922AD7">
        <w:t xml:space="preserve"> or a student has been unsuccessful in a number of Alternative Providers </w:t>
      </w:r>
      <w:r>
        <w:t>Blackwater</w:t>
      </w:r>
      <w:r w:rsidR="00922AD7">
        <w:t xml:space="preserve"> Academy may provide home tuition for the students. This will cover English and Maths and is only used in extreme circumstances. </w:t>
      </w:r>
    </w:p>
    <w:p w14:paraId="3B1C6C96" w14:textId="77777777" w:rsidR="002D72CB" w:rsidRDefault="00922AD7">
      <w:pPr>
        <w:spacing w:after="0" w:line="259" w:lineRule="auto"/>
        <w:ind w:left="0" w:firstLine="0"/>
        <w:jc w:val="left"/>
      </w:pPr>
      <w:r>
        <w:t xml:space="preserve"> </w:t>
      </w:r>
    </w:p>
    <w:p w14:paraId="4C7E811F" w14:textId="77777777" w:rsidR="002D72CB" w:rsidRDefault="00922AD7">
      <w:pPr>
        <w:spacing w:after="26" w:line="259" w:lineRule="auto"/>
        <w:ind w:left="-5" w:hanging="10"/>
        <w:jc w:val="left"/>
      </w:pPr>
      <w:r>
        <w:rPr>
          <w:b/>
        </w:rPr>
        <w:t xml:space="preserve">Policies Related to this Policy: </w:t>
      </w:r>
    </w:p>
    <w:p w14:paraId="2C2C58CE" w14:textId="77777777" w:rsidR="002D72CB" w:rsidRDefault="00922AD7">
      <w:pPr>
        <w:spacing w:after="30"/>
        <w:ind w:left="0" w:firstLine="0"/>
      </w:pPr>
      <w:r>
        <w:t xml:space="preserve">Safeguarding Policy </w:t>
      </w:r>
    </w:p>
    <w:p w14:paraId="3C57A8CF" w14:textId="77777777" w:rsidR="002D72CB" w:rsidRDefault="00922AD7">
      <w:pPr>
        <w:spacing w:after="32"/>
        <w:ind w:left="0" w:firstLine="0"/>
      </w:pPr>
      <w:r>
        <w:t xml:space="preserve">Attendance Policy </w:t>
      </w:r>
    </w:p>
    <w:p w14:paraId="09F3DC1A" w14:textId="77777777" w:rsidR="002D72CB" w:rsidRDefault="00922AD7">
      <w:pPr>
        <w:spacing w:after="265"/>
        <w:ind w:left="0" w:firstLine="0"/>
      </w:pPr>
      <w:r>
        <w:t>Behaviour Policy</w:t>
      </w:r>
      <w:r>
        <w:rPr>
          <w:color w:val="FF0000"/>
        </w:rPr>
        <w:t xml:space="preserve"> </w:t>
      </w:r>
    </w:p>
    <w:p w14:paraId="6B4F8F2F" w14:textId="77777777" w:rsidR="002D72CB" w:rsidRDefault="00922AD7">
      <w:pPr>
        <w:spacing w:after="262" w:line="259" w:lineRule="auto"/>
        <w:ind w:left="-5" w:hanging="10"/>
        <w:jc w:val="left"/>
      </w:pPr>
      <w:r>
        <w:rPr>
          <w:b/>
        </w:rPr>
        <w:t xml:space="preserve">Signed Chair of the Governing  </w:t>
      </w:r>
    </w:p>
    <w:p w14:paraId="6634F1B0" w14:textId="77777777" w:rsidR="002D72CB" w:rsidRDefault="00922AD7">
      <w:pPr>
        <w:spacing w:after="262" w:line="259" w:lineRule="auto"/>
        <w:ind w:left="-5" w:hanging="10"/>
        <w:jc w:val="left"/>
      </w:pPr>
      <w:r>
        <w:rPr>
          <w:b/>
        </w:rPr>
        <w:t xml:space="preserve">Body: </w:t>
      </w:r>
      <w:r>
        <w:rPr>
          <w:b/>
          <w:u w:val="single" w:color="000000"/>
        </w:rPr>
        <w:t xml:space="preserve">                                                                     </w:t>
      </w:r>
      <w:r>
        <w:rPr>
          <w:b/>
        </w:rPr>
        <w:t xml:space="preserve">                                          </w:t>
      </w:r>
    </w:p>
    <w:p w14:paraId="1828D145" w14:textId="77777777" w:rsidR="002D72CB" w:rsidRDefault="00922AD7">
      <w:pPr>
        <w:spacing w:after="262" w:line="259" w:lineRule="auto"/>
        <w:ind w:left="-5" w:hanging="10"/>
        <w:jc w:val="left"/>
      </w:pPr>
      <w:r>
        <w:rPr>
          <w:b/>
        </w:rPr>
        <w:t xml:space="preserve">Date: </w:t>
      </w:r>
      <w:r>
        <w:rPr>
          <w:b/>
          <w:u w:val="single" w:color="000000"/>
        </w:rPr>
        <w:t xml:space="preserve">                                                                                  </w:t>
      </w:r>
      <w:r>
        <w:rPr>
          <w:b/>
        </w:rPr>
        <w:t xml:space="preserve">                                              </w:t>
      </w:r>
    </w:p>
    <w:p w14:paraId="70F0FFDB" w14:textId="77777777" w:rsidR="002D72CB" w:rsidRDefault="00922AD7">
      <w:pPr>
        <w:spacing w:after="0" w:line="259" w:lineRule="auto"/>
        <w:ind w:left="0" w:firstLine="0"/>
        <w:jc w:val="left"/>
      </w:pPr>
      <w:r>
        <w:rPr>
          <w:rFonts w:ascii="Calibri" w:eastAsia="Calibri" w:hAnsi="Calibri" w:cs="Calibri"/>
          <w:b/>
          <w:color w:val="FF0000"/>
        </w:rPr>
        <w:t xml:space="preserve"> </w:t>
      </w:r>
    </w:p>
    <w:sectPr w:rsidR="002D72CB">
      <w:footerReference w:type="even" r:id="rId15"/>
      <w:footerReference w:type="default" r:id="rId16"/>
      <w:footerReference w:type="first" r:id="rId17"/>
      <w:pgSz w:w="11906" w:h="16838"/>
      <w:pgMar w:top="722" w:right="1129" w:bottom="1178" w:left="1133" w:header="720" w:footer="8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F0A96" w14:textId="77777777" w:rsidR="0053377F" w:rsidRDefault="0053377F">
      <w:pPr>
        <w:spacing w:after="0" w:line="240" w:lineRule="auto"/>
      </w:pPr>
      <w:r>
        <w:separator/>
      </w:r>
    </w:p>
  </w:endnote>
  <w:endnote w:type="continuationSeparator" w:id="0">
    <w:p w14:paraId="3F12FBF5" w14:textId="77777777" w:rsidR="0053377F" w:rsidRDefault="0053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5D5E" w14:textId="77777777" w:rsidR="002D72CB" w:rsidRDefault="002D72C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0FDA" w14:textId="77777777" w:rsidR="002D72CB" w:rsidRDefault="002D72C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990F" w14:textId="77777777" w:rsidR="002D72CB" w:rsidRDefault="002D72C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61521" w14:textId="77777777" w:rsidR="002D72CB" w:rsidRDefault="00922AD7">
    <w:pPr>
      <w:tabs>
        <w:tab w:val="center" w:pos="4820"/>
      </w:tabs>
      <w:spacing w:after="0" w:line="259" w:lineRule="auto"/>
      <w:ind w:left="0" w:firstLine="0"/>
      <w:jc w:val="left"/>
    </w:pP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6</w:t>
      </w:r>
    </w:fldSimple>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43D8E" w14:textId="77777777" w:rsidR="002D72CB" w:rsidRDefault="00922AD7">
    <w:pPr>
      <w:tabs>
        <w:tab w:val="center" w:pos="4820"/>
      </w:tabs>
      <w:spacing w:after="0" w:line="259" w:lineRule="auto"/>
      <w:ind w:left="0" w:firstLine="0"/>
      <w:jc w:val="left"/>
    </w:pP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6</w:t>
      </w:r>
    </w:fldSimple>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C6E2" w14:textId="77777777" w:rsidR="002D72CB" w:rsidRDefault="00922AD7">
    <w:pPr>
      <w:tabs>
        <w:tab w:val="center" w:pos="4820"/>
      </w:tabs>
      <w:spacing w:after="0" w:line="259" w:lineRule="auto"/>
      <w:ind w:left="0" w:firstLine="0"/>
      <w:jc w:val="left"/>
    </w:pP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6</w:t>
      </w:r>
    </w:fldSimple>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CF475" w14:textId="77777777" w:rsidR="0053377F" w:rsidRDefault="0053377F">
      <w:pPr>
        <w:spacing w:after="0" w:line="240" w:lineRule="auto"/>
      </w:pPr>
      <w:r>
        <w:separator/>
      </w:r>
    </w:p>
  </w:footnote>
  <w:footnote w:type="continuationSeparator" w:id="0">
    <w:p w14:paraId="0BE69008" w14:textId="77777777" w:rsidR="0053377F" w:rsidRDefault="00533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128B"/>
    <w:multiLevelType w:val="hybridMultilevel"/>
    <w:tmpl w:val="2B0E11C4"/>
    <w:lvl w:ilvl="0" w:tplc="DCFC72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D4F6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3AF4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E22F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F0A7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8C7B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3C37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D4C2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7CE5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D65D07"/>
    <w:multiLevelType w:val="hybridMultilevel"/>
    <w:tmpl w:val="5462BF94"/>
    <w:lvl w:ilvl="0" w:tplc="43EAED7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8E122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E85FF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3A937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B095D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AA688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7E35F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C1AE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12B75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68304A"/>
    <w:multiLevelType w:val="hybridMultilevel"/>
    <w:tmpl w:val="7222F360"/>
    <w:lvl w:ilvl="0" w:tplc="6B7278A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7E97A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A4861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9C911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50D0A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26A9A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4095C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C227C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4C0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D100EA"/>
    <w:multiLevelType w:val="hybridMultilevel"/>
    <w:tmpl w:val="7E2CDCBC"/>
    <w:lvl w:ilvl="0" w:tplc="9D706F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A5F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B607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E0BE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6E9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5EAC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1C3C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FC75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B628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F72AAB"/>
    <w:multiLevelType w:val="hybridMultilevel"/>
    <w:tmpl w:val="1FB8237E"/>
    <w:lvl w:ilvl="0" w:tplc="DC08A4F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50F5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A499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6289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8483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9CEC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0E92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58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04A9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AD2E59"/>
    <w:multiLevelType w:val="hybridMultilevel"/>
    <w:tmpl w:val="B448D9BC"/>
    <w:lvl w:ilvl="0" w:tplc="B4FA53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A44F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D8AD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523F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F868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FE54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168A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8A9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6C6E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0823DF"/>
    <w:multiLevelType w:val="multilevel"/>
    <w:tmpl w:val="D4485836"/>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pStyle w:val="Heading2"/>
      <w:lvlText w:val="%1.%2"/>
      <w:lvlJc w:val="left"/>
      <w:pPr>
        <w:ind w:left="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abstractNum>
  <w:num w:numId="1" w16cid:durableId="2097091654">
    <w:abstractNumId w:val="4"/>
  </w:num>
  <w:num w:numId="2" w16cid:durableId="1270892951">
    <w:abstractNumId w:val="5"/>
  </w:num>
  <w:num w:numId="3" w16cid:durableId="699941416">
    <w:abstractNumId w:val="1"/>
  </w:num>
  <w:num w:numId="4" w16cid:durableId="459956366">
    <w:abstractNumId w:val="2"/>
  </w:num>
  <w:num w:numId="5" w16cid:durableId="1134711161">
    <w:abstractNumId w:val="0"/>
  </w:num>
  <w:num w:numId="6" w16cid:durableId="1199851214">
    <w:abstractNumId w:val="3"/>
  </w:num>
  <w:num w:numId="7" w16cid:durableId="1332218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2CB"/>
    <w:rsid w:val="00081C4C"/>
    <w:rsid w:val="0010788E"/>
    <w:rsid w:val="0011798D"/>
    <w:rsid w:val="00231CAA"/>
    <w:rsid w:val="002D72CB"/>
    <w:rsid w:val="0053377F"/>
    <w:rsid w:val="00543E3A"/>
    <w:rsid w:val="00565696"/>
    <w:rsid w:val="00596947"/>
    <w:rsid w:val="006F350D"/>
    <w:rsid w:val="007C41EE"/>
    <w:rsid w:val="0081167F"/>
    <w:rsid w:val="00922AD7"/>
    <w:rsid w:val="00974645"/>
    <w:rsid w:val="009B36FB"/>
    <w:rsid w:val="00A635BD"/>
    <w:rsid w:val="00E77CEF"/>
    <w:rsid w:val="00ED7E52"/>
    <w:rsid w:val="00F96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70E58"/>
  <w15:docId w15:val="{727EEA04-61D4-4CCD-95B4-8BE55A53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37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7"/>
      </w:numPr>
      <w:spacing w:after="3"/>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numPr>
        <w:ilvl w:val="1"/>
        <w:numId w:val="7"/>
      </w:numPr>
      <w:spacing w:after="3"/>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000000"/>
      <w:sz w:val="22"/>
      <w:u w:val="single" w:color="000000"/>
    </w:rPr>
  </w:style>
  <w:style w:type="paragraph" w:styleId="TOC1">
    <w:name w:val="toc 1"/>
    <w:hidden/>
    <w:pPr>
      <w:spacing w:after="122" w:line="250" w:lineRule="auto"/>
      <w:ind w:left="375" w:right="23"/>
      <w:jc w:val="both"/>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1567</Words>
  <Characters>10415</Characters>
  <Application>Microsoft Office Word</Application>
  <DocSecurity>0</DocSecurity>
  <Lines>306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&amp; Becky</dc:creator>
  <cp:keywords/>
  <cp:lastModifiedBy>Lucy Jelf</cp:lastModifiedBy>
  <cp:revision>4</cp:revision>
  <dcterms:created xsi:type="dcterms:W3CDTF">2023-01-09T20:51:00Z</dcterms:created>
  <dcterms:modified xsi:type="dcterms:W3CDTF">2024-10-10T12:18:00Z</dcterms:modified>
</cp:coreProperties>
</file>